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2359. Which Functional Tests and Self-Reported Questionnaires Can Help Clinicians Make Valid Return to Sport Decisions in Patients With Chronic Ankle Instability? A Narrative Review and Expert Opinion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Picot, B., Hardy, A., Terrier, R., Tassignon, B., Lopes, R., Fourchet,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10.3389/fspor.2022.902886</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Lateral ankle sprain is the most common injury in sports, with up to 40% of patients developing chronic ankle instability (CAI). One possible cause underlying this high rate of recurrence or feeling of giving way may be a premature return to sport (RTS). Indeed, except for time-based parameters, there are no specific criteria to guide clinicians in their RTS decisions in patients with CAI. A recent international consensus highlighted the relevance and importance of including patient-reported ankle function questionnaires combined with functional tests targeting ankle impairments in this population. Thus, the aim of this narrative review and expert opinion was to identify the most relevant functional performance tests and self-reported questionnaires to help clinicians in their RTS decision-making process following recurrent ankle sprains or surgical ankle stabilization. The PubMed (MEDLINE), PEDro, Cochrane Library and ScienceDirect databases were searched to identify published articles. Results showed that the single leg stance test on firm surfaces, the modified version of the star excursion balance test, the side hop test and the figure-of-8 test appeared to be the most relevant functional performance tests to target ankle impairments in patients with CAI. A combination of the Foot and Ankle Ability Measure (FAAM) and the Ankle Ligament Reconstruction-Return to Sport after Injury (ALR-RSI) questionnaires were the most relevant self-reported questionnaires to assess patient function in the context of CAI. Although these functional tests and questionnaires provide a solid foundation for clinicians to validate their RTS decisions in patient with CAI, objective scientific criteria with cut-off scores are still lacking. In addition to the proposed test cluster, an analysis of the context, in particular characteristics related to sports (e.g., fatigue, cognitive constraints), to obtain more information about the patient's risk of recurrent injury could be of added value when making a RTS decision in patients with CAI. In order to evaluate the strength of evertors under ecological conditions, it would also be interesting to assess the ability to control weight-bearing ankle inversion in a unipodal stance. Further studies are needed to assess the relevance of this proposed test cluster in RTS decision-making following lateral ankle sprain injury and CAI.</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Front Sports Act Living</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563. Which instruments can detect submaximal physical and functional capacity in patients with chronic nonspecific back pain?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van der Meer, S., Trippolini, M. A., van der Palen, J., Verhoeven, J., Reneman, M.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STUDY DESIGN: Systematic review. OBJECTIVE: To evaluate the validity of instruments that claim to detect submaximal capacity when maximal capacity is requested in patients with chronic nonspecific musculoskeletal pain. SUMMARY OF BACKGROUND DATA: Several instruments have been developed to measure capacity in patients with chronic pain. The detection of submaximal capacity can have major implications for patients. The validity of these instruments has never been systematically reviewed. METHODS: A systematic literature search was performed including the following databases: Web of Knowledge (including PubMed and Cinahl), Scopus, and Cochrane. Two reviewers independently selected the articles based on the title and abstract according to the study selection criteria. Studies were included when they contained original data and when they objectified submaximal physical or functional capacity when maximal physical or functional capacity was requested. Two authors independently extracted data and rated the quality of the articles. The included studies were scored according to the subscales "Criterion Validity" and "Hypothesis Testing" of the COSMIN checklist. A Best Evidence Synthesis was performed. RESULTS: Seven studies were included, 5 of which used a reference standard for submaximal capacity. Three studies were of good methodological quality and validly detected submaximal capacity with specificity rates between 75% and 100%. CONCLUSION: There is strong evidence that submaximal capacity can be detected in patients with chronic low back pain with a lumbar motion monitor or visual observations accompanying a functional capacity evaluation lifting test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Spine (Phila Pa 1976.)</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25</w:t>
      </w:r>
    </w:p>
    <w:p w:rsidP="00000000" w:rsidRDefault="00000000" w:rsidR="00000000" w:rsidRPr="00000000" w:rsidDel="00000000">
      <w:pPr>
        <w:pStyle w:val="Heading2"/>
        <w:contextualSpacing w:val="0"/>
      </w:pPr>
      <w:r w:rsidR="00000000" w:rsidRPr="00000000" w:rsidDel="00000000">
        <w:rPr>
          <w:rStyle w:val="Heading2"/>
          <w:rtl w:val="0"/>
        </w:rPr>
        <w:t xml:space="preserve">111. Which measurement scales should we use to measure breathlessness in palliative care?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Dorman, S., Byrne, A., Edwards,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There is no universally accepted measurement scale to assess breathlessness in adult palliative care patients. This significantly hampers clinical practice and research into effective interventions. The aim is to systematically identify and appraise breathlessness measurement scales, which are validated for use in palliative care or which show potential for use. Methods: We undertook systematic searches of electronic databases (Cochrane databases 2005, MEDLINE 1966-2005, OLDMEDLINE 1950-1965, EMBASE 1980-2005, PsycINFO 1872-2005, AMED 1985-2005, CINAHL 1982-2005, SIGLE 1980-2005) with follow-up searches (reference lists of included papers, handsearches of relevant journals). The basic search strategy was 'breathlessness (etc.) AND measurement (scales, validation etc.) AND palliative care/cardiac failure/respiratory disease/neoplasm etc.', modified for each database, without language restriction. Patient-based scales with evaluations of at least two psychometric characteristics were included. Exercise-based tests were excluded. Scales were appraised with particular emphasis on construct validity and responsiveness.Results: We identified 29 scales: six to measure breathlessness severity, four to assess breathlessness descriptions, and 19 to measure functional impact of breathlessness.Severity: The Numeric Rating Scale (NRS) and modified Borg Scale have been evaluated in COPD (the NRS has also been evaluated in cancer). Both require further assessment of responsiveness and test-retest reliability over time intervals relevant to palliative care. Visual Analogue Scales have also been evaluated, but require larger sample sizes than NRS for evidence of intervention effectiveness. Descriptions: The Japanese Cancer Dyspnoea Scale (CDS) has been evaluated in patients with cancer, but requires further assessment of construct validity and responsiveness. Functional impact: The Chronic Respiratory Questionnaire dyspnoea subscale (CRQ-D) has been evaluated in chronic lung diseases and heart failure; the MND Respiratory Scale is similar. CRQ-D has face and construct validity, test-retest reliability and responsiveness, and shows promise for palliative care. Conclusion: The NRS, modified Borg, CRQ-D and CDS appear most suitable for use in palliative care, but further evaluation is required before adopting any scale as standard. This review has been registered with the Cochrane collaboration and will be published and updated as a Cochrane review</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Palliat.Med.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2029. Which patient reported outcomes (PROs) and patient reported outcome measures (PROMs) do researchers select in stress urinary incontinence surgical trials? -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Loganathan, J., Coffey, J., Doumouchtsis, S. K.</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10.1007/s00192-022-05123-7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AND HYPOTHESIS: The mesh controversy has highlighted the need for robust evidence of treatment safety and efficacy, particularly in the surgical treatment of stress urinary incontinence (SUI). Current trials demonstrate heterogeneity in outcomes reported as well as outcome measures used, restricting the ability to synthesize data and produce robust research evidence (Doumouchtsis et al. 5). Patient-reported outcomes (PROs) should be a focus when evaluating SUI surgery given the quality-of-life nature of this condition affecting 25-45% women worldwide (Milsom and Gyhagen 1). As part of the first step in developing a core outcome set (COS) and measures set (COMS), we aimed to systematically review RCTs evaluating SUI surgery and extract PROs and outcome measures (PROMs) used. MATERIALS AND METHODS: We searched databases including MEDLINE and Cochrane for RCTs evaluating SUI surgical treatments from inception to January 2020. Eligibility criteria included English language and female-only subjects. PROs and PROMs were extracted and grouped into a structured inventory. PROMs were assigned to domains based on predominant theme. RESULTS: Of 123 eligible RCTs, 116 (94%) included PROs. Forty-four different PROMs were utilized; most frequent was Patient Global Impression of Improvement (PGI-I). Fifteen PROMs were used once. The top five PROMs have evidence of validity and are highly recommended. CONCLUSIONS: There is no consensus amongst relevant stakeholders regarding PROs or PROMs used in SUI surgery research. We propose that this consensus is required to standardize measurements and reporting and promote use of validated and reliable outcome measures. This systematic review forms the first step in the development process.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Urogynecol J</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387. Which quality of life score is best for glaucoma patients and why?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Severn, P., Fraser, S., Finch, T., May,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The glaucomas are generally asymptomatic diseases until they are very advanced. They affect 2% of the population over 40 years of age and therefore represent a significant public health issue. There have been a number of attempts to develop quality of life scales for the disease. This review discusses the pros and cons of these scales and suggests the best of the current ones for use in a clinical setting. METHODS: Medline, Embase and Google Scholar were searched for relevant articles. No time period was defined and all types of article were included. RESULTS: 11 Quality of Life scores were identified that have been used with glaucoma patients. CONCLUSION: There is no generally accepted 'best' Quality of Life instrument for use in glaucoma. Many of the scales are biased towards physical symptoms and do little to address the personal or social factors of the disease. Further work is needed to produce scales that address all these areas as well as being simple to administer in a clinical setting</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BMC Ophthalmol.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143. Which symptom assessments and approaches are uniquely appropriate for paediatric concussion?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Gioia, G. A., Schneider, J. C., Vaughan, C. G., Isquith, P. K.</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To (a) identify post-concussion symptom scales appropriate for children and adolescents in sports; (b) review evidence for reliability and validity; and (c) recommend future directions for scale development. DESIGN: Quantitative and qualitative literature review of symptom rating scales appropriate for children and adolescents aged 5 to 22 years. INTERVENTION: Literature identified via search of Medline, Ovid-Medline and PsycInfo databases; review of reference lists in identified articles; querying sports concussion specialists. 29 articles met study inclusion criteria. RESULTS: 5 symptom scales examined in 11 studies for ages 5-12 years and in 25 studies for ages 13-22. 10 of 11 studies for 5-12-year-olds presented validity evidence for three scales; 7 studies provided reliability evidence for two scales; 7 studies used serial administrations but no reliable change metrics. Two scales included parent-reports and one included a teacher report. 24 of 25 studies for 13-22 year-olds presented validity evidence for five measures; seven studies provided reliability evidence for four measures with 18 studies including serial administrations and two examining Reliable Change. CONCLUSIONS: Psychometric evidence for symptom scales is stronger for adolescents than for younger children. Most scales provide evidence of concurrent validity, discriminating concussed and non-concussed groups. Few report reliability and evidence for validity is narrow. Two measures include parent/teacher reports. Few scales examine reliable change statistics, limiting interpretability of temporal changes. Future studies are needed to fully define symptom scale psychometric properties with the greatest need in younger student-athletes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Br J Sports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946. Work disability among workers with osteoarthritis of the knee: risks factors, assessment scales, and interventions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Gaudreault, Nathaly, Maillette, Pascale, Coutu, Marie France, Durand, Marie Jose, Hagemeister, Nicola, Hebert, Luc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The prevalence of knee osteoarthritis (OA) among individuals active in the workforce will increase considerably in the next generation and a significant percentage of these individuals are expected to experience work disability because of this disease. The aim of this review was to summarize the existing knowledge on the following: (a) work disability risk factors; (b) reliable and valid work disability assessment tools; and (c) efficient interventions to reduce work disability in individuals with knee OA. An electronic document search using key words and MeSH terms was performed with various databases. Two independent investigators were tasked with the screening of articles and quality assessment. A critical appraisal of what is known was performed and recommendations for clinical practice and future research were formulated. The database search yielded 61 references. One article on risk factors, three related to assessment tools, and two on interventions were retained. Age and previous work absence episodes were found to be risk factors of workplace disability. The Work Limitation Questionnaire, the Work Instability Scale for Rheumatoid Arthritis, and the Workplace Activity Limitations Scale were psychometrically sound for the population studied. Education-based interventions seem to be more effective than conventional interventions in helping individuals with knee OA return to work faster, reduce the number of days absent from work, and improve their overall well-being. This review is the first to summarize the evidence on work disability risk factors, assessment tools, and interventions for this growing population and to show a critical gap in the existing knowledge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J. Rehabil.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229. Work-related self-report measures and assessment tools in cancer survivorship: a systematic literature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Ladehoff, N., Sturm, K., Mehnert,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10.3109/09638288.2012.688921</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To systematically review and appraise studies examining self-report questionnaires measuring work-related aspects in cancer patients. METHOD: Literature search methodology: Searches in Embase, PsycINFO, PSYNDEXplus, PSYNDEXplus Tests and PubMed for the period 1990-2011 were completed. Inclusion criteria were as follows: (i) the questionnaire measures work-related aspects; (ii) the questionnaire has been used in at least one study, which involved cancer patient as a relevant target group; and (iii) articles were written in English or German. RESULTS: Twenty-two articles out of 350 records were reviewed and 13 questionnaires identified. The majority of measures cover several dimensions of work-related aspects representing a variety of work-related experiences and constructs such as aspects of the work environment, demands at work and work-related interpersonal relations. Nine of the 13 questionnaires showed good internal consistency whereas subscales of four instruments had fair or poor internal consistency. For 12 out of 13 measures, validity and reliability were tested in non-cancer populations. CONCLUSIONS: The knowledge about reliability and validity of self-report questionnaires measuring work-related aspects in cancer patients is scarce and more high-quality validation studies are needed. Findings further emphasize the need for the development of valid multidimensional measures that are relevant for both research and rehabilitative occupational interventions.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Disabil Rehabil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w:t>
      </w:r>
    </w:p>
    <w:p w:rsidP="00000000" w:rsidRDefault="00000000" w:rsidR="00000000" w:rsidRPr="00000000" w:rsidDel="00000000">
      <w:pPr>
        <w:pStyle w:val="Heading2"/>
        <w:contextualSpacing w:val="0"/>
      </w:pPr>
      <w:r w:rsidR="00000000" w:rsidRPr="00000000" w:rsidDel="00000000">
        <w:rPr>
          <w:rStyle w:val="Heading2"/>
          <w:rtl w:val="0"/>
        </w:rPr>
        <w:t xml:space="preserve">2541. Wrist Rigidity Evaluation in Parkinson's Disease: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Alves, C. M., Rezende, A. R., Marques, I. A., Mendes, L. C., de Sá, A. A. R., Vieira, M. F., Júnior, E. A. L., Pereira, A. A., Oliveira, F. H. M., de Souza, L. P. S., Bourhis, G., Pino, P., Andrade, A. O., Morère, Y., Naves, E. L.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10.3390/healthcare10112178</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(1) Background: One of the main cardinal signs of Parkinson's disease (PD) is rigidity, whose assessment is important for monitoring the patient's recovery. The wrist is one of the joints most affected by this symptom, which has a great impact on activities of daily living and consequently on quality of life. The assessment of rigidity is traditionally made by clinical scales, which have limitations due to their subjectivity and low intra- and inter-examiner reliability. (2) Objectives: To compile the main methods used to assess wrist rigidity in PD and to study their validity and reliability, a scope review was conducted. (3) Methods: PubMed, IEEE/IET Electronic Library, Web of Science, Scopus, Cochrane, Bireme, Google Scholar and Science Direct databases were used. (4) Results: Twenty-eight studies were included. The studies presented several methods for quantitative assessment of rigidity using instruments such as force and inertial sensors. (5) Conclusions: Such methods present good correlation with clinical scales and are useful for detecting and monitoring rigidity. However, the development of a standard quantitative method for assessing rigidity in clinical practice remains a challenge.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Healthcare (Basel)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11</w:t>
      </w:r>
    </w:p>
    <w:p w:rsidP="00000000" w:rsidRDefault="00000000" w:rsidR="00000000" w:rsidRPr="00000000" w:rsidDel="00000000">
      <w:pPr>
        <w:pStyle w:val="Heading2"/>
        <w:contextualSpacing w:val="0"/>
      </w:pPr>
      <w:r w:rsidR="00000000" w:rsidRPr="00000000" w:rsidDel="00000000">
        <w:rPr>
          <w:rStyle w:val="Heading2"/>
          <w:rtl w:val="0"/>
        </w:rPr>
        <w:t xml:space="preserve">2511. Yarning about Diet: The Applicability of Dietary Assessment Methods in Aboriginal and Torres Strait Islander Australians-A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Davies, A., Coombes, J., Wallace, J., Glover, K., Porykali, B., Allman-Farinelli, M., Kunzli-Rix, T., Rangan,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10.3390/nu15030787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Conventional dietary assessment methods are based predominately on Western models which lack Aboriginal and Torres Strait Islander knowledges, methodologies, and social and cultural contextualisation. This review considered dietary assessment methods used with Aboriginal and Torres Strait Islander populations and assessed their applicability. Four electronic databases and grey literature were searched with no time limit applied to the results. Screening, data extraction and quality appraisal were undertaken independently by two reviewers. Out of 22 studies, 20 were conducted in rural/remote settings, one in an urban setting, and one at the national population level. The most frequently used and applicable dietary assessment method involved store data. Weighed food records and food frequency questionnaires had low applicability. Modifications of conventional methods were commonly used to adapt to Indigenous practices, but few studies incorporated Indigenous research methodologies such as yarning. This highlights an opportunity for further investigation to validate the accuracy of methods that incorporate qualitative yarning-based approaches, or other Indigenous research methodologies, into quantitative data collection. The importance of developing validated dietary assessment methods that are appropriate for this population cannot be understated considering the high susceptibility to nutrition-related health conditions such as malnutrition, overweight or obesity, diabetes, and cardiovascular disease.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Nutrients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3</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