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Target="docProps/app.xml" Type="http://schemas.openxmlformats.org/officeDocument/2006/relationships/extended-properties" Id="rId1"/><Relationship Target="docProps/core.xml" Type="http://schemas.openxmlformats.org/package/2006/relationships/metadata/core-properties" Id="rId2"/><Relationship Target="docProps/custom.xml" Type="http://schemas.openxmlformats.org/officeDocument/2006/relationships/custom-properties" Id="rId3"/><Relationship Target="word/document.xml" Type="http://schemas.openxmlformats.org/officeDocument/2006/relationships/officeDocument" Id="rId4"/></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Default="00000000" w:rsidR="00000000" w:rsidRPr="00000000" w:rsidDel="00000000">
      <w:pPr>
        <w:pStyle w:val="Heading1"/>
        <w:contextualSpacing w:val="0"/>
      </w:pPr>
      <w:r w:rsidR="00000000" w:rsidRPr="00000000" w:rsidDel="00000000">
        <w:rPr>
          <w:rStyle w:val="Heading1"/>
          <w:rtl w:val="0"/>
        </w:rPr>
        <w:t xml:space="preserve">Search results</w:t>
      </w:r>
    </w:p>
    <w:p w:rsidP="00000000" w:rsidRDefault="00000000" w:rsidR="00000000" w:rsidRPr="00000000" w:rsidDel="00000000">
      <w:pPr>
        <w:pStyle w:val="Heading2"/>
        <w:contextualSpacing w:val="0"/>
      </w:pPr>
      <w:r w:rsidR="00000000" w:rsidRPr="00000000" w:rsidDel="00000000">
        <w:rPr>
          <w:rStyle w:val="Heading2"/>
          <w:rtl w:val="0"/>
        </w:rPr>
        <w:t xml:space="preserve">946. Work disability among workers with osteoarthritis of the knee: risks factors, assessment scales, and interventions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Gaudreault, Nathaly, Maillette, Pascale, Coutu, Marie France, Durand, Marie Jose, Hagemeister, Nicola, Hebert, Luc J.</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The prevalence of knee osteoarthritis (OA) among individuals active in the workforce will increase considerably in the next generation and a significant percentage of these individuals are expected to experience work disability because of this disease. The aim of this review was to summarize the existing knowledge on the following: (a) work disability risk factors; (b) reliable and valid work disability assessment tools; and (c) efficient interventions to reduce work disability in individuals with knee OA. An electronic document search using key words and MeSH terms was performed with various databases. Two independent investigators were tasked with the screening of articles and quality assessment. A critical appraisal of what is known was performed and recommendations for clinical practice and future research were formulated. The database search yielded 61 references. One article on risk factors, three related to assessment tools, and two on interventions were retained. Age and previous work absence episodes were found to be risk factors of workplace disability. The Work Limitation Questionnaire, the Work Instability Scale for Rheumatoid Arthritis, and the Workplace Activity Limitations Scale were psychometrically sound for the population studied. Education-based interventions seem to be more effective than conventional interventions in helping individuals with knee OA return to work faster, reduce the number of days absent from work, and improve their overall well-being. This review is the first to summarize the evidence on work disability risk factors, assessment tools, and interventions for this growing population and to show a critical gap in the existing knowledge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Int. J. Rehabil. Res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4</w:t>
      </w:r>
    </w:p>
    <w:p w:rsidP="00000000" w:rsidRDefault="00000000" w:rsidR="00000000" w:rsidRPr="00000000" w:rsidDel="00000000">
      <w:pPr>
        <w:pStyle w:val="Heading2"/>
        <w:contextualSpacing w:val="0"/>
      </w:pPr>
      <w:r w:rsidR="00000000" w:rsidRPr="00000000" w:rsidDel="00000000">
        <w:rPr>
          <w:rStyle w:val="Heading2"/>
          <w:rtl w:val="0"/>
        </w:rPr>
        <w:t xml:space="preserve">229. Work-related self-report measures and assessment tools in cancer survivorship: a systematic literature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Ladehoff, N., Sturm, K., Mehnert,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10.3109/09638288.2012.688921</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To systematically review and appraise studies examining self-report questionnaires measuring work-related aspects in cancer patients. METHOD: Literature search methodology: Searches in Embase, PsycINFO, PSYNDEXplus, PSYNDEXplus Tests and PubMed for the period 1990-2011 were completed. Inclusion criteria were as follows: (i) the questionnaire measures work-related aspects; (ii) the questionnaire has been used in at least one study, which involved cancer patient as a relevant target group; and (iii) articles were written in English or German. RESULTS: Twenty-two articles out of 350 records were reviewed and 13 questionnaires identified. The majority of measures cover several dimensions of work-related aspects representing a variety of work-related experiences and constructs such as aspects of the work environment, demands at work and work-related interpersonal relations. Nine of the 13 questionnaires showed good internal consistency whereas subscales of four instruments had fair or poor internal consistency. For 12 out of 13 measures, validity and reliability were tested in non-cancer populations. CONCLUSIONS: The knowledge about reliability and validity of self-report questionnaires measuring work-related aspects in cancer patients is scarce and more high-quality validation studies are needed. Findings further emphasize the need for the development of valid multidimensional measures that are relevant for both research and rehabilitative occupational interventions.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Disabil Rehabil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2</w:t>
      </w:r>
    </w:p>
    <w:p w:rsidP="00000000" w:rsidRDefault="00000000" w:rsidR="00000000" w:rsidRPr="00000000" w:rsidDel="00000000">
      <w:pPr>
        <w:pStyle w:val="Heading2"/>
        <w:contextualSpacing w:val="0"/>
      </w:pPr>
      <w:r w:rsidR="00000000" w:rsidRPr="00000000" w:rsidDel="00000000">
        <w:rPr>
          <w:rStyle w:val="Heading2"/>
          <w:rtl w:val="0"/>
        </w:rPr>
        <w:t xml:space="preserve">2541. Wrist Rigidity Evaluation in Parkinson's Disease: 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Alves, C. M., Rezende, A. R., Marques, I. A., Mendes, L. C., de Sá, A. A. R., Vieira, M. F., Júnior, E. A. L., Pereira, A. A., Oliveira, F. H. M., de Souza, L. P. S., Bourhis, G., Pino, P., Andrade, A. O., Morère, Y., Naves, E. L.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10.3390/healthcare10112178</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(1) Background: One of the main cardinal signs of Parkinson's disease (PD) is rigidity, whose assessment is important for monitoring the patient's recovery. The wrist is one of the joints most affected by this symptom, which has a great impact on activities of daily living and consequently on quality of life. The assessment of rigidity is traditionally made by clinical scales, which have limitations due to their subjectivity and low intra- and inter-examiner reliability. (2) Objectives: To compile the main methods used to assess wrist rigidity in PD and to study their validity and reliability, a scope review was conducted. (3) Methods: PubMed, IEEE/IET Electronic Library, Web of Science, Scopus, Cochrane, Bireme, Google Scholar and Science Direct databases were used. (4) Results: Twenty-eight studies were included. The studies presented several methods for quantitative assessment of rigidity using instruments such as force and inertial sensors. (5) Conclusions: Such methods present good correlation with clinical scales and are useful for detecting and monitoring rigidity. However, the development of a standard quantitative method for assessing rigidity in clinical practice remains a challenge.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Healthcare (Basel)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11</w:t>
      </w:r>
    </w:p>
    <w:p w:rsidP="00000000" w:rsidRDefault="00000000" w:rsidR="00000000" w:rsidRPr="00000000" w:rsidDel="00000000">
      <w:pPr>
        <w:pStyle w:val="Heading2"/>
        <w:contextualSpacing w:val="0"/>
      </w:pPr>
      <w:r w:rsidR="00000000" w:rsidRPr="00000000" w:rsidDel="00000000">
        <w:rPr>
          <w:rStyle w:val="Heading2"/>
          <w:rtl w:val="0"/>
        </w:rPr>
        <w:t xml:space="preserve">2511. Yarning about Diet: The Applicability of Dietary Assessment Methods in Aboriginal and Torres Strait Islander Australians-A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Davies, A., Coombes, J., Wallace, J., Glover, K., Porykali, B., Allman-Farinelli, M., Kunzli-Rix, T., Rangan,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10.3390/nu15030787</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Conventional dietary assessment methods are based predominately on Western models which lack Aboriginal and Torres Strait Islander knowledges, methodologies, and social and cultural contextualisation. This review considered dietary assessment methods used with Aboriginal and Torres Strait Islander populations and assessed their applicability. Four electronic databases and grey literature were searched with no time limit applied to the results. Screening, data extraction and quality appraisal were undertaken independently by two reviewers. Out of 22 studies, 20 were conducted in rural/remote settings, one in an urban setting, and one at the national population level. The most frequently used and applicable dietary assessment method involved store data. Weighed food records and food frequency questionnaires had low applicability. Modifications of conventional methods were commonly used to adapt to Indigenous practices, but few studies incorporated Indigenous research methodologies such as yarning. This highlights an opportunity for further investigation to validate the accuracy of methods that incorporate qualitative yarning-based approaches, or other Indigenous research methodologies, into quantitative data collection. The importance of developing validated dietary assessment methods that are appropriate for this population cannot be understated considering the high susceptibility to nutrition-related health conditions such as malnutrition, overweight or obesity, diabetes, and cardiovascular disease.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Nutrients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3</w:t>
      </w:r>
    </w:p>
    <w:sectPr>
      <w:pgSz w:w="12240" w:h="15840" w:orient="portrait"/>
      <w:pgMar w:top="1440" w:bottom="1440" w:left="1440" w:right="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Arial"/>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Default="00000000" w:rsidR="00000000" w:rsidRPr="00000000" w:rsidDel="00000000">
    <w:pPr>
      <w:contextualSpacing w:val="0"/>
      <w:jc w:val="center"/>
    </w:pPr>
    <w:r w:rsidR="00000000" w:rsidRPr="00000000" w:rsidDel="00000000">
      <w:rPr/>
      <w:fldChar w:fldCharType="begin"/>
      <w:instrText xml:space="preserve">PAGE</w:instrText>
      <w:fldChar w:fldCharType="end"/>
    </w:r>
    <w:r w:rsidR="00000000" w:rsidRP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caps w:val="0"/>
        <w:smallCaps w:val="0"/>
        <w:strike w:val="0"/>
        <w:color w:val="333333"/>
        <w:sz w:val="20"/>
        <w:u w:val="none"/>
        <w:vertAlign w:val="baseline"/>
      </w:rPr>
    </w:rPrDefault>
    <w:pPrDefault>
      <w:pPr>
        <w:keepNext w:val="0"/>
        <w:keepLines w:val="0"/>
        <w:widowControl w:val="1"/>
        <w:spacing w:lineRule="auto" w:before="0" w:after="0" w:line="320"/>
        <w:ind w:left="0" w:right="0" w:firstLine="0"/>
        <w:jc w:val="left"/>
      </w:pPr>
    </w:pPrDefault>
  </w:docDefaults>
  <w:style w:styleId="Normal" w:type="paragraph" w:default="1">
    <w:name w:val="normal"/>
  </w:style>
  <w:style w:styleId="TableNormal" w:type="table" w:default="1">
    <w:name w:val="Table Normal"/>
    <w:pPr>
      <w:spacing w:lineRule="auto" w:line="459.99999999999994" w:before="0" w:after="0"/>
    </w:pPr>
  </w:style>
  <w:style w:styleId="Heading1" w:type="paragraph">
    <w:name w:val="heading 1"/>
    <w:basedOn w:val="Normal"/>
    <w:next w:val="Normal"/>
    <w:pPr>
      <w:keepNext w:val="0"/>
      <w:keepLines w:val="0"/>
      <w:widowControl w:val="1"/>
      <w:spacing w:lineRule="auto" w:after="120"/>
      <w:contextualSpacing w:val="1"/>
    </w:pPr>
    <w:rPr>
      <w:rFonts w:cs="Palatino" w:hAnsi="Palatino" w:eastAsia="Palatino" w:ascii="Palatino"/>
      <w:sz w:val="36"/>
    </w:rPr>
  </w:style>
  <w:style w:styleId="Heading2" w:type="paragraph">
    <w:name w:val="heading 2"/>
    <w:basedOn w:val="Normal"/>
    <w:next w:val="Normal"/>
    <w:pPr>
      <w:keepNext w:val="0"/>
      <w:keepLines w:val="0"/>
      <w:widowControl w:val="1"/>
      <w:spacing w:lineRule="auto" w:before="120" w:after="160"/>
      <w:contextualSpacing w:val="1"/>
    </w:pPr>
    <w:rPr>
      <w:rFonts w:cs="Arial" w:hAnsi="Arial" w:eastAsia="Arial" w:ascii="Arial"/>
      <w:b w:val="1"/>
      <w:sz w:val="26"/>
    </w:rPr>
  </w:style>
  <w:style w:styleId="Heading3" w:type="paragraph">
    <w:name w:val="heading 3"/>
    <w:basedOn w:val="Normal"/>
    <w:next w:val="Normal"/>
    <w:pPr>
      <w:keepNext w:val="0"/>
      <w:keepLines w:val="0"/>
      <w:widowControl w:val="1"/>
      <w:spacing w:lineRule="auto" w:before="120" w:after="160"/>
      <w:contextualSpacing w:val="1"/>
    </w:pPr>
    <w:rPr>
      <w:rFonts w:cs="Arial" w:hAnsi="Arial" w:eastAsia="Arial" w:ascii="Arial"/>
      <w:b w:val="1"/>
      <w:i w:val="1"/>
      <w:color w:val="666666"/>
      <w:sz w:val="24"/>
    </w:rPr>
  </w:style>
  <w:style w:styleId="Heading4" w:type="paragraph">
    <w:name w:val="heading 4"/>
    <w:basedOn w:val="Normal"/>
    <w:next w:val="Normal"/>
    <w:pPr>
      <w:keepNext w:val="0"/>
      <w:keepLines w:val="0"/>
      <w:widowControl w:val="1"/>
      <w:spacing w:lineRule="auto" w:before="120" w:after="120"/>
      <w:contextualSpacing w:val="1"/>
    </w:pPr>
    <w:rPr>
      <w:rFonts w:cs="Palatino" w:hAnsi="Palatino" w:eastAsia="Palatino" w:ascii="Palatino"/>
      <w:b w:val="1"/>
      <w:sz w:val="24"/>
    </w:rPr>
  </w:style>
  <w:style w:styleId="Heading5" w:type="paragraph">
    <w:name w:val="heading 5"/>
    <w:basedOn w:val="Normal"/>
    <w:next w:val="Normal"/>
    <w:pPr>
      <w:keepNext w:val="0"/>
      <w:keepLines w:val="0"/>
      <w:widowControl w:val="1"/>
      <w:spacing w:lineRule="auto" w:before="120" w:after="120"/>
      <w:contextualSpacing w:val="1"/>
    </w:pPr>
    <w:rPr>
      <w:rFonts w:cs="Arial" w:hAnsi="Arial" w:eastAsia="Arial" w:ascii="Arial"/>
      <w:b w:val="1"/>
      <w:sz w:val="22"/>
    </w:rPr>
  </w:style>
  <w:style w:styleId="Heading6" w:type="paragraph">
    <w:name w:val="heading 6"/>
    <w:basedOn w:val="Normal"/>
    <w:next w:val="Normal"/>
    <w:pPr>
      <w:keepNext w:val="0"/>
      <w:keepLines w:val="0"/>
      <w:widowControl w:val="1"/>
      <w:spacing w:lineRule="auto" w:before="120" w:after="120"/>
      <w:contextualSpacing w:val="1"/>
    </w:pPr>
    <w:rPr>
      <w:rFonts w:cs="Arial" w:hAnsi="Arial" w:eastAsia="Arial" w:ascii="Arial"/>
      <w:i w:val="1"/>
      <w:color w:val="666666"/>
      <w:sz w:val="22"/>
      <w:u w:val="single"/>
    </w:rPr>
  </w:style>
  <w:style w:styleId="Title" w:type="paragraph">
    <w:name w:val="title"/>
    <w:basedOn w:val="Normal"/>
    <w:next w:val="Normal"/>
    <w:pPr>
      <w:keepNext w:val="0"/>
      <w:keepLines w:val="0"/>
      <w:widowControl w:val="1"/>
      <w:contextualSpacing w:val="1"/>
    </w:pPr>
    <w:rPr>
      <w:rFonts w:cs="Palatino" w:hAnsi="Palatino" w:eastAsia="Palatino" w:ascii="Palatino"/>
      <w:sz w:val="60"/>
    </w:rPr>
  </w:style>
  <w:style w:styleId="Subtitle" w:type="paragraph">
    <w:name w:val="subtitle"/>
    <w:basedOn w:val="Normal"/>
    <w:next w:val="Normal"/>
    <w:pPr>
      <w:keepNext w:val="0"/>
      <w:keepLines w:val="0"/>
      <w:widowControl w:val="1"/>
      <w:spacing w:lineRule="auto" w:before="60"/>
      <w:contextualSpacing w:val="1"/>
    </w:pPr>
    <w:rPr>
      <w:rFonts w:cs="Arial" w:hAnsi="Arial" w:eastAsia="Arial" w:ascii="Arial"/>
      <w:sz w:val="28"/>
    </w:rPr>
  </w:style>
  <w:style w:styleId="DefaultTable"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1"/><Relationship Target="footer1.xml" Type="http://schemas.openxmlformats.org/officeDocument/2006/relationships/footer" Id="rId2"/><Relationship Target="numbering.xml" Type="http://schemas.openxmlformats.org/officeDocument/2006/relationships/numbering" Id="rId3"/><Relationship Target="settings.xml" Type="http://schemas.openxmlformats.org/officeDocument/2006/relationships/settings" Id="rId4"/><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Caracal</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cp:coreProperties>
</file>

<file path=docProps/custom.xml><?xml version="1.0" encoding="utf-8"?>
<Properties xmlns="http://schemas.openxmlformats.org/officeDocument/2006/custom-properties" xmlns:vt="http://schemas.openxmlformats.org/officeDocument/2006/docPropsVTypes"/>
</file>