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2279. Where Are We on Proprioception Assessment Tests Among Poststroke Individuals? A Systematic Review of Psychometric Properties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Jamal, K., Penisson, A., Rostagno, S., Duclos,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10.1097/npt.0000000000000405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AND PURPOSE: Proprioception is often impaired in poststroke individuals. This is a significant issue since altered proprioception is associated with poorer physical function outcomes poststroke. However, there is limited consensus on the best tools for assessing proprioception and support for their widespread use by clinicians. The objective is to appraise the psychometric properties of each test used to assess proprioception in poststroke individuals. METHODS: A systematic search was performed according to PRISMA guidelines using the databases MEDLINE, Cochrane Library, PEDro, DiTa, and BioMedicalCentral for articles published up to January 2021. RESULTS: Sixteen studies of low methodological quality were included. Sixteen different proprioception assessment tests were extracted. The proprioception portion of the Fugl-Meyer Assessment Scale was found to be the most valid and reliable tool for screening patients in clinical settings. Although no real gold standard exists, the technological devices demonstrated better responsiveness and measurement accuracy than clinical tests. Technological devices might be more appropriate for assessing proprioception recovery or better suited for research purposes. DISCUSSION AND CONCLUSIONS: This review revealed low-quality articles and a paucity of tests with good psychometric properties available to clinicians to properly screen and assess all subcomponents of proprioception. In perspective, technological devices, such as robotic orthoses or muscle vibration, may provide the best potential for assessing the different subcomponents of proprioception. Further studies should be conducted to develop and investigate such approaches.Video, Supplemental Digital Content 1, available at:http://links.lww.com/JNPT/A388.</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Neurol Phys Ther</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413. Which are the best instruments for measuring disabilities in gait and gait-related activities in patients with rheumatic disorders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Swinkels, R. A. H. M., Oostendorp, R. A. B., Bouter, L.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Objectives. Our first objective was to make an inventory of available instruments for the assessment of disabilities in gait and related activities in patients with rheumatic disorders. Our second at. In was to investigate which of these instruments have acceptable methodological quality with regard to reliability and validity Our third aim was to investigate the assumption that the evaluation of convergent construct validity results in stronger correlations when validated against a more similar construct.</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Clinical and Experimental Rheumatology</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w:t>
      </w:r>
    </w:p>
    <w:p w:rsidP="00000000" w:rsidRDefault="00000000" w:rsidR="00000000" w:rsidRPr="00000000" w:rsidDel="00000000">
      <w:pPr>
        <w:pStyle w:val="Heading2"/>
        <w:contextualSpacing w:val="0"/>
      </w:pPr>
      <w:r w:rsidR="00000000" w:rsidRPr="00000000" w:rsidDel="00000000">
        <w:rPr>
          <w:rStyle w:val="Heading2"/>
          <w:rtl w:val="0"/>
        </w:rPr>
        <w:t xml:space="preserve">302. Which Are the Most Frequently Used Outcome Instruments in Studies on Total Ankle Arthroplasty?</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Naal, F. D., Impellizzeri, F. M., Rippstein, P. F.</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The number of studies reporting on outcomes after total ankle arthroplasty is continuously increasing. As the use of valid outcome measures represents the cornerstone for successful clinical research, we aimed to identify the most frequently used outcome instruments in ankle arthroplasty studies and to analyze the evidence to support their use in terms of different quality criteria. A systematic review of the literature identified 15 outcome instruments reported in 79 original studies. The most commonly used measures were the American Orthopaedic Foot and Ankle Society hindfoot score (n = 41), the Kofoed ankle score (n = 21), a visual analog scale assessing pain (n = 15), and the generic SF-36 (n = 6). Eight additional instruments were used only once or twice. The American Orthopaedic Foot and Ankle Society and Kofoed instruments include a clinical examination and score up to 100 points. Evidence to support their use in terms of validity, reliability, responsiveness, and interpretability is limited, raising the question whether their use is justified. Self-reported questionnaires related to ankle osteoarthritis or arthroplasty are rather disregarded in the current literature, and only the Foot Function Index is associated with evidence in terms of the above-mentioned quality criteria. Future research is warranted to improve the outcome assessment after total ankle arthroplasty</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Clin Orthop Relat Res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1917. Which Frailty Scales for Patients with Adult Spinal Deformity are Feasible and Adequate?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Kitamura, K., van Hooff, M., Jacobs, W., Watanabe, K., de Kleuver,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10.1016/j.spinee.2022.01.017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CONTEXT: Frailty as a concept is not yet fully understood, and is not the same as comorbidity. It is associated with an increased risk of adverse events and mortality after surgery, which makes its preoperative assessment significant. Despite its relevance, it still remains unclear which scales are appropriate for use in patients with spinal pathology. PURPOSE: To evaluate the feasibility and measurement properties of frailty scales for spine patients, specifically with adult spinal deformity (ASD), and to propose adequate scales for primary triage to prevent surgery in too frail patients and for preoperative assessment to modify patients' condition and surgical plans. STUDY DESIGN/SETTING: Systematic review METHODS: : Systematic search was performed between 2010 and 2021 including terms relating to spinal disorders, frailty scales, and methodological quality. Characteristics of the studies and frailty scales and data describing relation to treatment outcomes were extracted. The risk of bias was determined with the QAREL score. RESULTS: Of the 1993 references found, 88 original studies were included and 23 scales were identified. No prospective interventional study was found where the preoperative frailty assessment was implemented. Predictive value of scales for surgical outcomes varied, dependent on spinal disorders, type of surgeries, patients' age and frailty at baseline, and outcomes. Seventeen studies reported measurement properties of eight scales but these studies were not free of bias. In 30 ASD studies, ASD-Frailty Index (ASD-FI, n=14) and 11-item modified Frailty Index (mFI-11, n=11) were most frequently used. These scales were mainly studied in registry studies including young adult population, and carry a risk of sample bias and make their validity in elderly population unclear. ASD-FI covers multidisciplinary concepts of frailty with 40 items but its feasibility in clinical practice is questionable due to its length. The Risk Analysis Index (RAI), another multidisciplinary scale with 14 items, has been implemented for preoperative assessment in other surgical domains and was proven to be feasible and effective in interventional prospective studies. The FRAIL is a simple questionnaire with five items and its predictive value was confirmed in prospective cohort studies in which only elderly patients were included. CONCLUSIONS: No adequate scale was identified in terms of methodological quality and feasibility for daily practice. Careful attention should be paid when choosing an adequate scale, which depends on the setting of interest (eg triage or pre-operative work-up). We recommend to further study a simple and predictive scale such as FRAIL for primary triage and a comprehensive and feasible scale such as RAI for preoperative assessment for patients undergoing spine surgery, as their adequacy has been shown in other medical domains.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Spine J</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2359. Which Functional Tests and Self-Reported Questionnaires Can Help Clinicians Make Valid Return to Sport Decisions in Patients With Chronic Ankle Instability? A Narrative Review and Expert Opinion</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Picot, B., Hardy, A., Terrier, R., Tassignon, B., Lopes, R., Fourchet, F.</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10.3389/fspor.2022.902886</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Lateral ankle sprain is the most common injury in sports, with up to 40% of patients developing chronic ankle instability (CAI). One possible cause underlying this high rate of recurrence or feeling of giving way may be a premature return to sport (RTS). Indeed, except for time-based parameters, there are no specific criteria to guide clinicians in their RTS decisions in patients with CAI. A recent international consensus highlighted the relevance and importance of including patient-reported ankle function questionnaires combined with functional tests targeting ankle impairments in this population. Thus, the aim of this narrative review and expert opinion was to identify the most relevant functional performance tests and self-reported questionnaires to help clinicians in their RTS decision-making process following recurrent ankle sprains or surgical ankle stabilization. The PubMed (MEDLINE), PEDro, Cochrane Library and ScienceDirect databases were searched to identify published articles. Results showed that the single leg stance test on firm surfaces, the modified version of the star excursion balance test, the side hop test and the figure-of-8 test appeared to be the most relevant functional performance tests to target ankle impairments in patients with CAI. A combination of the Foot and Ankle Ability Measure (FAAM) and the Ankle Ligament Reconstruction-Return to Sport after Injury (ALR-RSI) questionnaires were the most relevant self-reported questionnaires to assess patient function in the context of CAI. Although these functional tests and questionnaires provide a solid foundation for clinicians to validate their RTS decisions in patient with CAI, objective scientific criteria with cut-off scores are still lacking. In addition to the proposed test cluster, an analysis of the context, in particular characteristics related to sports (e.g., fatigue, cognitive constraints), to obtain more information about the patient's risk of recurrent injury could be of added value when making a RTS decision in patients with CAI. In order to evaluate the strength of evertors under ecological conditions, it would also be interesting to assess the ability to control weight-bearing ankle inversion in a unipodal stance. Further studies are needed to assess the relevance of this proposed test cluster in RTS decision-making following lateral ankle sprain injury and CAI.</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Front Sports Act Living</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563. Which instruments can detect submaximal physical and functional capacity in patients with chronic nonspecific back pain?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van der Meer, S., Trippolini, M. A., van der Palen, J., Verhoeven, J., Reneman, M. F.</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STUDY DESIGN: Systematic review. OBJECTIVE: To evaluate the validity of instruments that claim to detect submaximal capacity when maximal capacity is requested in patients with chronic nonspecific musculoskeletal pain. SUMMARY OF BACKGROUND DATA: Several instruments have been developed to measure capacity in patients with chronic pain. The detection of submaximal capacity can have major implications for patients. The validity of these instruments has never been systematically reviewed. METHODS: A systematic literature search was performed including the following databases: Web of Knowledge (including PubMed and Cinahl), Scopus, and Cochrane. Two reviewers independently selected the articles based on the title and abstract according to the study selection criteria. Studies were included when they contained original data and when they objectified submaximal physical or functional capacity when maximal physical or functional capacity was requested. Two authors independently extracted data and rated the quality of the articles. The included studies were scored according to the subscales "Criterion Validity" and "Hypothesis Testing" of the COSMIN checklist. A Best Evidence Synthesis was performed. RESULTS: Seven studies were included, 5 of which used a reference standard for submaximal capacity. Three studies were of good methodological quality and validly detected submaximal capacity with specificity rates between 75% and 100%. CONCLUSION: There is strong evidence that submaximal capacity can be detected in patients with chronic low back pain with a lumbar motion monitor or visual observations accompanying a functional capacity evaluation lifting test</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Spine (Phila Pa 1976.)</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25</w:t>
      </w:r>
    </w:p>
    <w:p w:rsidP="00000000" w:rsidRDefault="00000000" w:rsidR="00000000" w:rsidRPr="00000000" w:rsidDel="00000000">
      <w:pPr>
        <w:pStyle w:val="Heading2"/>
        <w:contextualSpacing w:val="0"/>
      </w:pPr>
      <w:r w:rsidR="00000000" w:rsidRPr="00000000" w:rsidDel="00000000">
        <w:rPr>
          <w:rStyle w:val="Heading2"/>
          <w:rtl w:val="0"/>
        </w:rPr>
        <w:t xml:space="preserve">111. Which measurement scales should we use to measure breathlessness in palliative care?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Dorman, S., Byrne, A., Edwards,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There is no universally accepted measurement scale to assess breathlessness in adult palliative care patients. This significantly hampers clinical practice and research into effective interventions. The aim is to systematically identify and appraise breathlessness measurement scales, which are validated for use in palliative care or which show potential for use. Methods: We undertook systematic searches of electronic databases (Cochrane databases 2005, MEDLINE 1966-2005, OLDMEDLINE 1950-1965, EMBASE 1980-2005, PsycINFO 1872-2005, AMED 1985-2005, CINAHL 1982-2005, SIGLE 1980-2005) with follow-up searches (reference lists of included papers, handsearches of relevant journals). The basic search strategy was 'breathlessness (etc.) AND measurement (scales, validation etc.) AND palliative care/cardiac failure/respiratory disease/neoplasm etc.', modified for each database, without language restriction. Patient-based scales with evaluations of at least two psychometric characteristics were included. Exercise-based tests were excluded. Scales were appraised with particular emphasis on construct validity and responsiveness.Results: We identified 29 scales: six to measure breathlessness severity, four to assess breathlessness descriptions, and 19 to measure functional impact of breathlessness.Severity: The Numeric Rating Scale (NRS) and modified Borg Scale have been evaluated in COPD (the NRS has also been evaluated in cancer). Both require further assessment of responsiveness and test-retest reliability over time intervals relevant to palliative care. Visual Analogue Scales have also been evaluated, but require larger sample sizes than NRS for evidence of intervention effectiveness. Descriptions: The Japanese Cancer Dyspnoea Scale (CDS) has been evaluated in patients with cancer, but requires further assessment of construct validity and responsiveness. Functional impact: The Chronic Respiratory Questionnaire dyspnoea subscale (CRQ-D) has been evaluated in chronic lung diseases and heart failure; the MND Respiratory Scale is similar. CRQ-D has face and construct validity, test-retest reliability and responsiveness, and shows promise for palliative care. Conclusion: The NRS, modified Borg, CRQ-D and CDS appear most suitable for use in palliative care, but further evaluation is required before adopting any scale as standard. This review has been registered with the Cochrane collaboration and will be published and updated as a Cochrane review</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Palliat.Med.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2029. Which patient reported outcomes (PROs) and patient reported outcome measures (PROMs) do researchers select in stress urinary incontinence surgical trials? -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Loganathan, J., Coffey, J., Doumouchtsis, S. K.</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10.1007/s00192-022-05123-7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AND HYPOTHESIS: The mesh controversy has highlighted the need for robust evidence of treatment safety and efficacy, particularly in the surgical treatment of stress urinary incontinence (SUI). Current trials demonstrate heterogeneity in outcomes reported as well as outcome measures used, restricting the ability to synthesize data and produce robust research evidence (Doumouchtsis et al. 5). Patient-reported outcomes (PROs) should be a focus when evaluating SUI surgery given the quality-of-life nature of this condition affecting 25-45% women worldwide (Milsom and Gyhagen 1). As part of the first step in developing a core outcome set (COS) and measures set (COMS), we aimed to systematically review RCTs evaluating SUI surgery and extract PROs and outcome measures (PROMs) used. MATERIALS AND METHODS: We searched databases including MEDLINE and Cochrane for RCTs evaluating SUI surgical treatments from inception to January 2020. Eligibility criteria included English language and female-only subjects. PROs and PROMs were extracted and grouped into a structured inventory. PROMs were assigned to domains based on predominant theme. RESULTS: Of 123 eligible RCTs, 116 (94%) included PROs. Forty-four different PROMs were utilized; most frequent was Patient Global Impression of Improvement (PGI-I). Fifteen PROMs were used once. The top five PROMs have evidence of validity and are highly recommended. CONCLUSIONS: There is no consensus amongst relevant stakeholders regarding PROs or PROMs used in SUI surgery research. We propose that this consensus is required to standardize measurements and reporting and promote use of validated and reliable outcome measures. This systematic review forms the first step in the development process.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Int Urogynecol J</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387. Which quality of life score is best for glaucoma patients and why?</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Severn, P., Fraser, S., Finch, T., May,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The glaucomas are generally asymptomatic diseases until they are very advanced. They affect 2% of the population over 40 years of age and therefore represent a significant public health issue. There have been a number of attempts to develop quality of life scales for the disease. This review discusses the pros and cons of these scales and suggests the best of the current ones for use in a clinical setting. METHODS: Medline, Embase and Google Scholar were searched for relevant articles. No time period was defined and all types of article were included. RESULTS: 11 Quality of Life scores were identified that have been used with glaucoma patients. CONCLUSION: There is no generally accepted 'best' Quality of Life instrument for use in glaucoma. Many of the scales are biased towards physical symptoms and do little to address the personal or social factors of the disease. Further work is needed to produce scales that address all these areas as well as being simple to administer in a clinical setting</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BMC Ophthalmol.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143. Which symptom assessments and approaches are uniquely appropriate for paediatric concussion?</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Gioia, G. A., Schneider, J. C., Vaughan, C. G., Isquith, P. K.</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To (a) identify post-concussion symptom scales appropriate for children and adolescents in sports; (b) review evidence for reliability and validity; and (c) recommend future directions for scale development. DESIGN: Quantitative and qualitative literature review of symptom rating scales appropriate for children and adolescents aged 5 to 22 years. INTERVENTION: Literature identified via search of Medline, Ovid-Medline and PsycInfo databases; review of reference lists in identified articles; querying sports concussion specialists. 29 articles met study inclusion criteria. RESULTS: 5 symptom scales examined in 11 studies for ages 5-12 years and in 25 studies for ages 13-22. 10 of 11 studies for 5-12-year-olds presented validity evidence for three scales; 7 studies provided reliability evidence for two scales; 7 studies used serial administrations but no reliable change metrics. Two scales included parent-reports and one included a teacher report. 24 of 25 studies for 13-22 year-olds presented validity evidence for five measures; seven studies provided reliability evidence for four measures with 18 studies including serial administrations and two examining Reliable Change. CONCLUSIONS: Psychometric evidence for symptom scales is stronger for adolescents than for younger children. Most scales provide evidence of concurrent validity, discriminating concussed and non-concussed groups. Few report reliability and evidence for validity is narrow. Two measures include parent/teacher reports. Few scales examine reliable change statistics, limiting interpretability of temporal changes. Future studies are needed to fully define symptom scale psychometric properties with the greatest need in younger student-athletes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Br J Sports 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