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143. Which symptom assessments and approaches are uniquely appropriate for paediatric concussion?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Gioia, G. A., Schneider, J. C., Vaughan, C. G., Isquith, P.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(a) identify post-concussion symptom scales appropriate for children and adolescents in sports; (b) review evidence for reliability and validity; and (c) recommend future directions for scale development. DESIGN: Quantitative and qualitative literature review of symptom rating scales appropriate for children and adolescents aged 5 to 22 years. INTERVENTION: Literature identified via search of Medline, Ovid-Medline and PsycInfo databases; review of reference lists in identified articles; querying sports concussion specialists. 29 articles met study inclusion criteria. RESULTS: 5 symptom scales examined in 11 studies for ages 5-12 years and in 25 studies for ages 13-22. 10 of 11 studies for 5-12-year-olds presented validity evidence for three scales; 7 studies provided reliability evidence for two scales; 7 studies used serial administrations but no reliable change metrics. Two scales included parent-reports and one included a teacher report. 24 of 25 studies for 13-22 year-olds presented validity evidence for five measures; seven studies provided reliability evidence for four measures with 18 studies including serial administrations and two examining Reliable Change. CONCLUSIONS: Psychometric evidence for symptom scales is stronger for adolescents than for younger children. Most scales provide evidence of concurrent validity, discriminating concussed and non-concussed groups. Few report reliability and evidence for validity is narrow. Two measures include parent/teacher reports. Few scales examine reliable change statistics, limiting interpretability of temporal changes. Future studies are needed to fully define symptom scale psychometric properties with the greatest need in younger student-athletes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3168. Who is the PROM King? Patient-reported Outcome Measures in Pediatric Musculoskeletal Oncology: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Baghdadi, S., Van Eenenaam, D., Jr., Talwar, D., Arkader,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10.1097/bpo.0000000000002874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Patient-reported outcome measures (PROMs) are important companions to traditional, physician-reported measures. The purpose of this study was to systematically review and identify PROMs used in pediatric musculoskeletal oncology and evaluate these instruments. METHODS: A systematic literature review was conducted for studies pertaining to pediatric musculoskeletal tumors from 2010 to 2024. Two experts selected eligible papers for inclusion through a systematic approach. PROMs used in the eligible papers were cataloged, and the top 10 most frequently used instruments were evaluated with Evaluating Measures of Patient-Reported Outcomes (EMPRO), which is a standardized evaluation tool for PROs. RESULTS: A total of 316 publications were included in the final analysis, reporting a total of 82 unique PROMs. Of the papers, 24% reported no PROMs, whereas 67% of the instruments were only reported once. Nine out of the 10 top PROMs scored over 50 on EMPRO, meeting the minimum acceptable criteria. Musculoskeletal Tumor Society, Toronto Extremity Salvage Score, Disabilities of the Arm, Shoulder, and Hand (DASH), and Quick DASH were disease-specific instruments scoring high on EMPRO. Short Form-36, Pediatric Quality of Life Questionnaire, Quality of Life Questionnaire-30, BSI-18, and TNO AZL Child Quality Of Life met the requirements in the general instruments. Short Form-12 was the lowest-scored PROM. CONCLUSIONS: Our results show minimal consensus on the ideal PROM in pediatric musculoskeletal oncology. We recommend using instruments that are already in widespread use instead of obscure PROMs, which defy the purpose of reporting outcomes from a patient perspective. All 4 disease-specific instruments scored highly and are already widely used, including Musculoskeletal Tumor Society, Toronto Extremity Salvage Score, DASH, and Quick DASH. However, we found no consensus on general instruments. With the development and increasing popularity of Patient-Reported Outcomes Measurement Information System, it may replace other general instruments that are proprietary, unreliable, or not developed with pediatric patients in mind. LEVEL OF EVIDENCE: Level IV-systematic review of level II to IV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Pediatr Orthop</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