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387. Which quality of life score is best for glaucoma patients and why?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Severn, P., Fraser, S., Finch, T., May,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The glaucomas are generally asymptomatic diseases until they are very advanced. They affect 2% of the population over 40 years of age and therefore represent a significant public health issue. There have been a number of attempts to develop quality of life scales for the disease. This review discusses the pros and cons of these scales and suggests the best of the current ones for use in a clinical setting. METHODS: Medline, Embase and Google Scholar were searched for relevant articles. No time period was defined and all types of article were included. RESULTS: 11 Quality of Life scores were identified that have been used with glaucoma patients. CONCLUSION: There is no generally accepted 'best' Quality of Life instrument for use in glaucoma. Many of the scales are biased towards physical symptoms and do little to address the personal or social factors of the disease. Further work is needed to produce scales that address all these areas as well as being simple to administer in a clinical setting</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BMC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143. Which symptom assessments and approaches are uniquely appropriate for paediatric concussion?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Gioia, G. A., Schneider, J. C., Vaughan, C. G., Isquith, P.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(a) identify post-concussion symptom scales appropriate for children and adolescents in sports; (b) review evidence for reliability and validity; and (c) recommend future directions for scale development. DESIGN: Quantitative and qualitative literature review of symptom rating scales appropriate for children and adolescents aged 5 to 22 years. INTERVENTION: Literature identified via search of Medline, Ovid-Medline and PsycInfo databases; review of reference lists in identified articles; querying sports concussion specialists. 29 articles met study inclusion criteria. RESULTS: 5 symptom scales examined in 11 studies for ages 5-12 years and in 25 studies for ages 13-22. 10 of 11 studies for 5-12-year-olds presented validity evidence for three scales; 7 studies provided reliability evidence for two scales; 7 studies used serial administrations but no reliable change metrics. Two scales included parent-reports and one included a teacher report. 24 of 25 studies for 13-22 year-olds presented validity evidence for five measures; seven studies provided reliability evidence for four measures with 18 studies including serial administrations and two examining Reliable Change. CONCLUSIONS: Psychometric evidence for symptom scales is stronger for adolescents than for younger children. Most scales provide evidence of concurrent validity, discriminating concussed and non-concussed groups. Few report reliability and evidence for validity is narrow. Two measures include parent/teacher reports. Few scales examine reliable change statistics, limiting interpretability of temporal changes. Future studies are needed to fully define symptom scale psychometric properties with the greatest need in younger student-athletes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3168. Who is the PROM King? Patient-reported Outcome Measures in Pediatric Musculoskeletal Oncology: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Baghdadi, S., Van Eenenaam, D., Jr., Talwar, D., Arkader,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10.1097/bpo.0000000000002874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Patient-reported outcome measures (PROMs) are important companions to traditional, physician-reported measures. The purpose of this study was to systematically review and identify PROMs used in pediatric musculoskeletal oncology and evaluate these instruments. METHODS: A systematic literature review was conducted for studies pertaining to pediatric musculoskeletal tumors from 2010 to 2024. Two experts selected eligible papers for inclusion through a systematic approach. PROMs used in the eligible papers were cataloged, and the top 10 most frequently used instruments were evaluated with Evaluating Measures of Patient-Reported Outcomes (EMPRO), which is a standardized evaluation tool for PROs. RESULTS: A total of 316 publications were included in the final analysis, reporting a total of 82 unique PROMs. Of the papers, 24% reported no PROMs, whereas 67% of the instruments were only reported once. Nine out of the 10 top PROMs scored over 50 on EMPRO, meeting the minimum acceptable criteria. Musculoskeletal Tumor Society, Toronto Extremity Salvage Score, Disabilities of the Arm, Shoulder, and Hand (DASH), and Quick DASH were disease-specific instruments scoring high on EMPRO. Short Form-36, Pediatric Quality of Life Questionnaire, Quality of Life Questionnaire-30, BSI-18, and TNO AZL Child Quality Of Life met the requirements in the general instruments. Short Form-12 was the lowest-scored PROM. CONCLUSIONS: Our results show minimal consensus on the ideal PROM in pediatric musculoskeletal oncology. We recommend using instruments that are already in widespread use instead of obscure PROMs, which defy the purpose of reporting outcomes from a patient perspective. All 4 disease-specific instruments scored highly and are already widely used, including Musculoskeletal Tumor Society, Toronto Extremity Salvage Score, DASH, and Quick DASH. However, we found no consensus on general instruments. With the development and increasing popularity of Patient-Reported Outcomes Measurement Information System, it may replace other general instruments that are proprietary, unreliable, or not developed with pediatric patients in mind. LEVEL OF EVIDENCE: Level IV-systematic review of level II to IV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Pediatr Orthop</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946. Work disability among workers with osteoarthritis of the knee: risks factors, assessment scales, and interventions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Gaudreault, Nathaly, Maillette, Pascale, Coutu, Marie France, Durand, Marie Jose, Hagemeister, Nicola, Hebert, Luc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prevalence of knee osteoarthritis (OA) among individuals active in the workforce will increase considerably in the next generation and a significant percentage of these individuals are expected to experience work disability because of this disease. The aim of this review was to summarize the existing knowledge on the following: (a) work disability risk factors; (b) reliable and valid work disability assessment tools; and (c) efficient interventions to reduce work disability in individuals with knee OA. An electronic document search using key words and MeSH terms was performed with various databases. Two independent investigators were tasked with the screening of articles and quality assessment. A critical appraisal of what is known was performed and recommendations for clinical practice and future research were formulated. The database search yielded 61 references. One article on risk factors, three related to assessment tools, and two on interventions were retained. Age and previous work absence episodes were found to be risk factors of workplace disability. The Work Limitation Questionnaire, the Work Instability Scale for Rheumatoid Arthritis, and the Workplace Activity Limitations Scale were psychometrically sound for the population studied. Education-based interventions seem to be more effective than conventional interventions in helping individuals with knee OA return to work faster, reduce the number of days absent from work, and improve their overall well-being. This review is the first to summarize the evidence on work disability risk factors, assessment tools, and interventions for this growing population and to show a critical gap in the existing knowledge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Rehabil.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229. Work-related self-report measures and assessment tools in cancer survivorship: a systematic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Ladehoff, N., Sturm, K., Mehnert,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10.3109/09638288.2012.688921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systematically review and appraise studies examining self-report questionnaires measuring work-related aspects in cancer patients. METHOD: Literature search methodology: Searches in Embase, PsycINFO, PSYNDEXplus, PSYNDEXplus Tests and PubMed for the period 1990-2011 were completed. Inclusion criteria were as follows: (i) the questionnaire measures work-related aspects; (ii) the questionnaire has been used in at least one study, which involved cancer patient as a relevant target group; and (iii) articles were written in English or German. RESULTS: Twenty-two articles out of 350 records were reviewed and 13 questionnaires identified. The majority of measures cover several dimensions of work-related aspects representing a variety of work-related experiences and constructs such as aspects of the work environment, demands at work and work-related interpersonal relations. Nine of the 13 questionnaires showed good internal consistency whereas subscales of four instruments had fair or poor internal consistency. For 12 out of 13 measures, validity and reliability were tested in non-cancer populations. CONCLUSIONS: The knowledge about reliability and validity of self-report questionnaires measuring work-related aspects in cancer patients is scarce and more high-quality validation studies are needed. Findings further emphasize the need for the development of valid multidimensional measures that are relevant for both research and rehabilitative occupational interventions.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2541. Wrist Rigidity Evaluation in Parkinson's Disease: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Alves, C. M., Rezende, A. R., Marques, I. A., Mendes, L. C., de Sá, A. A. R., Vieira, M. F., Júnior, E. A. L., Pereira, A. A., Oliveira, F. H. M., de Souza, L. P. S., Bourhis, G., Pino, P., Andrade, A. O., Morère, Y., Naves, E.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10.3390/healthcare10112178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(1) Background: One of the main cardinal signs of Parkinson's disease (PD) is rigidity, whose assessment is important for monitoring the patient's recovery. The wrist is one of the joints most affected by this symptom, which has a great impact on activities of daily living and consequently on quality of life. The assessment of rigidity is traditionally made by clinical scales, which have limitations due to their subjectivity and low intra- and inter-examiner reliability. (2) Objectives: To compile the main methods used to assess wrist rigidity in PD and to study their validity and reliability, a scope review was conducted. (3) Methods: PubMed, IEEE/IET Electronic Library, Web of Science, Scopus, Cochrane, Bireme, Google Scholar and Science Direct databases were used. (4) Results: Twenty-eight studies were included. The studies presented several methods for quantitative assessment of rigidity using instruments such as force and inertial sensors. (5) Conclusions: Such methods present good correlation with clinical scales and are useful for detecting and monitoring rigidity. However, the development of a standard quantitative method for assessing rigidity in clinical practice remains a challenge.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Healthcare (Basel)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2511. Yarning about Diet: The Applicability of Dietary Assessment Methods in Aboriginal and Torres Strait Islander Australians-A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Davies, A., Coombes, J., Wallace, J., Glover, K., Porykali, B., Allman-Farinelli, M., Kunzli-Rix, T., Rangan,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10.3390/nu15030787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Conventional dietary assessment methods are based predominately on Western models which lack Aboriginal and Torres Strait Islander knowledges, methodologies, and social and cultural contextualisation. This review considered dietary assessment methods used with Aboriginal and Torres Strait Islander populations and assessed their applicability. Four electronic databases and grey literature were searched with no time limit applied to the results. Screening, data extraction and quality appraisal were undertaken independently by two reviewers. Out of 22 studies, 20 were conducted in rural/remote settings, one in an urban setting, and one at the national population level. The most frequently used and applicable dietary assessment method involved store data. Weighed food records and food frequency questionnaires had low applicability. Modifications of conventional methods were commonly used to adapt to Indigenous practices, but few studies incorporated Indigenous research methodologies such as yarning. This highlights an opportunity for further investigation to validate the accuracy of methods that incorporate qualitative yarning-based approaches, or other Indigenous research methodologies, into quantitative data collection. The importance of developing validated dietary assessment methods that are appropriate for this population cannot be understated considering the high susceptibility to nutrition-related health conditions such as malnutrition, overweight or obesity, diabetes, and cardiovascular disease.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Nutrients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