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1772. Twenty years of quantitative instrumental measures of swallowing in children: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Dharmarathna, I., Miles, A., Allen,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10.1007/s00431-019-03546-x</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Early identification and intervention has shown better health outcomes for children with dysphagia. Instrumental swallowing assessments are vital and have been a focus of dysphagia research in the last two decades. This systematic review explores published quantitative instrumental measures of swallowing in children. Five subject-related databases were searched to identify original scientific articles published in English, using instrumental quantitative measures of swallowing to study swallowing/feeding mechanism in children since 1998. Two thousand two hundred and two articles were found from the initial database search and 36 were included in the final qualitative synthesis following PRISMA guidelines. Selected studies showed great diversity in target population, phase/s of swallowing studied, instrumentation used (n = 10) and quantitative measures reported (n = 144). Videofluoroscopy and manometry have been studied most repeatedly. With less frequency, a variety of other instruments has been used to describe suck-swallow patterns and swallowing-related respiration. High-resolution manometry shows the greatest increase in publications with validated, reliable quantitative measures of pharyngeal and oesophageal pressures and timing. More recently, quantification of videofluoroscopy analysis has been a focus.Conclusion: A diverse range of quantitative measures of swallowing is available for children in the literature. However, further reliability and validity testing is needed. Opportunities for clinical application of these quantitative manometric and videofluoroscopic measures are restricted by limited normative comparisons and vast variability in published measures.What is known?• Instrumental swallowing assessments are reliable and accurate in diagnosing swallowing difficulties in children.• However, subjective interpretation of observational findings often questions the optimal use of instrumentation.What is new?• High-resolution manometry has shown promising progress with the development of quantitative objective swallow measures for children. While attempts to quantify video-fluoroscopic measures have been increased in the recent past.• A vast variety of instruments has been used to obtain quantitative and/or objective swallow measures of children, yet clinical application is still in progress.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 J Pediatr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3461. Twenty-five years of experience with patient-reported outcome measures in soft-tissue sarcoma patients: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Generaal, J. D., Jansen, M. R., van Leeuwen, G. L., van Ginkel, R. J., Been, L. B., van Leeuwen, B. L.</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10.1007/s11136-024-03755-4</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As the importance of the patient's perspective on treatment outcome is becoming increasingly clear, the availability of patient-reported outcome measures (PROMs) has grown accordingly. There remains insufficient information regarding the quality of PROMs in patients with soft-tissue sarcomas (STSs). The objectives of this systematic review were (1) to identify all PROMs used in STS patients and (2) to critically appraise the methodological quality of these PROMs. METHODS: Literature searches were performed in MEDLINE and Embase on April 22, 2024. PROMs were identified by including all studies that evaluate (an aspect of) health-related quality of life in STS patients by using a PROM. Second, studies that assessed measurement properties of the PROMs utilized in STS patients were included. Quality of PROMs was evaluated by performing a COSMIN analysis. RESULTS: In 59 studies, 39 PROMs were identified, with the Toronto Extremity Salvage Score (TESS) being the most frequently utilized. Three studies evaluated methodological quality of PROMs in the STS population. Measurement properties of the TESS, Quick Disability of the Arm, Shoulder and Hand (QuickDASH) and European Organization for Research and Treatment for Cancer Quality of Life Questionnaire (EORTC-QLQ-C30) were reported. None of the PROMs utilized in the STS population can be recommended for use based on the current evidence and COSMIN analysis. CONCLUSION: To ensure collection of reliable outcomes, PROMs require methodological evaluation prior to utilization in the STS population. Research should prioritize on determining relevant content and subsequently selecting the most suitable PROM for assessment.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Qual Life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12</w:t>
      </w:r>
    </w:p>
    <w:p w:rsidP="00000000" w:rsidRDefault="00000000" w:rsidR="00000000" w:rsidRPr="00000000" w:rsidDel="00000000">
      <w:pPr>
        <w:pStyle w:val="Heading2"/>
        <w:contextualSpacing w:val="0"/>
      </w:pPr>
      <w:r w:rsidR="00000000" w:rsidRPr="00000000" w:rsidDel="00000000">
        <w:rPr>
          <w:rStyle w:val="Heading2"/>
          <w:rtl w:val="0"/>
        </w:rPr>
        <w:t xml:space="preserve">2463. Ultrasound Imaging-Based Methods for Assessing Biological Maturity during Adolescence and Possible Application in Youth Sport: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Rüeger, E., Hutmacher, N., Eichelberger, P., Löcherbach, C., Albrecht, S., Romann,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10.3390/children9121985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Bone maturity is an indicator for estimating the biological maturity of an individual. During adolescence, individuals show heterogeneous growth rates, and thus, differences in biological maturity should be considered in talent identification and development. Radiography of the left hand and wrist is considered the gold standard of biological maturity estimation. The use of ultrasound imaging (US) may be advantageous; however, its validity and reliability are under discussion. The aims of this scoping review are (1) to summarize the different methods for estimating biological maturity by US imaging in adolescents, (2) to obtain an overview of the level of validity and reliability of the methods, and (3) to point out the practicability and usefulness of ultrasound imaging in the field of youth sports. The search included articles published up to November 2022. The inclusion criteria stipulated that participants had to fall within the age range of 8 to 23 years and be free of bone disease and fractures in the region of interest. Nine body regions were investigated, while the hand and wrist were most commonly analyzed. US assessment methods were usually based on the estimation of a bone maturity stage, rather than a decimal bone age. Furthermore, 70% of the assessments were evaluated as applicable, 10% expressed restraint about implementation, and 20% were evaluated as not applicable. When tested, inter- and intra-rater reliability was high to excellent. Despite the absence of ionization, low costs, fast assessment, and accessibility, none of the US assessments could be referred to as a gold standard. If further development succeeds, its application has the potential to incorporate biological age into selection processes. This would allow for more equal opportunities in talent selection and thus make talent development fairer and more efficient.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Children (Basel)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12</w:t>
      </w:r>
    </w:p>
    <w:p w:rsidP="00000000" w:rsidRDefault="00000000" w:rsidR="00000000" w:rsidRPr="00000000" w:rsidDel="00000000">
      <w:pPr>
        <w:pStyle w:val="Heading2"/>
        <w:contextualSpacing w:val="0"/>
      </w:pPr>
      <w:r w:rsidR="00000000" w:rsidRPr="00000000" w:rsidDel="00000000">
        <w:rPr>
          <w:rStyle w:val="Heading2"/>
          <w:rtl w:val="0"/>
        </w:rPr>
        <w:t xml:space="preserve">145. Understanding and Assessing the Impact of End-Stage Renal Disease on Quality of Life A Systematic Review of the Content Validity of Self-Administered Instruments Used to Assess Health-Related Quality of Life in End-Stage Renal Disease</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Glover, C., Banks, P., Carson, A., Martin, C. R., Duffy, T.</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10.2165/11584650-000000000-00000</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Advances in healthcare, combined with an increasing number of adults with end-stage renal disease (ESRD), mean that there is a growing number of people now surviving on renal replacement therapy. The issue of health-related quality of life (HR-QOL) is becoming increasingly important in this area. For this reason, the content validity of various instruments used to measure HR-QOL in an ESRD population were explored.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Patient-Patient Centered Outcomes Research</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w:t>
      </w:r>
    </w:p>
    <w:p w:rsidP="00000000" w:rsidRDefault="00000000" w:rsidR="00000000" w:rsidRPr="00000000" w:rsidDel="00000000">
      <w:pPr>
        <w:pStyle w:val="Heading2"/>
        <w:contextualSpacing w:val="0"/>
      </w:pPr>
      <w:r w:rsidR="00000000" w:rsidRPr="00000000" w:rsidDel="00000000">
        <w:rPr>
          <w:rStyle w:val="Heading2"/>
          <w:rtl w:val="0"/>
        </w:rPr>
        <w:t xml:space="preserve">1088. Understanding lower leg volume measurements used in clinical studies focused on venous leg edema</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Rabe, E., Carpentier, P., Maggioli,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10.23736/s0392-9590.18.04057-9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aim of this review was to discuss the different techniques of leg edema measurement that have been used in clinical trials to help determine the most appropriate method of assessment and quantification for use in future research. Venoactive drugs such as micronized purified flavonoid fraction (MPFF) are established agents for the treatment of venous leg edema, but results from randomized- controlled trials vary depending on the method of edema assessment. The medical literature was searched for published articles using the terms venous lower limb edema and method of edema assessment. Clinical trials performed with MPFF used leg circumference and optometry for leg edema assessment. Indirect methods of lower limb volume assessment can be made by measurement of leg circumference with a tape or Leg-O-Meter. These are reliable and standardized instruments and simple and rapid to perform. Leg circumference measurements can also be used to indirectly estimate leg volume using the Frustum method. Direct methods such as Water Displacement Volumetry (WDV) are generally regarded as the gold standard for measurement of lower limb volume with low inter- and intra-individual variability. Nevertheless, to minimize variation in results measurement conditions must be standardized. The reproducibility of optometry can be considered good when positioning of the limb is appropriate. Other techniques also exist such as ultrasound imaging, bioelectrical impedance, tomodensitometry, Dual X-ray absorptiometry, computed tomography and magnetic resonance imaging. The different methods may be used to measure different compartments of the leg with or without the foot volume. For all techniques, strict standardization of measurement conditions is mandatory. CONCLUSIONS: Patient heterogeneity and method of edema assessment impact clinical trial results. In particular, there are a number of error sources with several methods of assessment that can lead to variability in trial results. Consequently, pilot studies are required to validate new methods of edema assessment using innovative technologies.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Angiol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3510. Understanding Patient-Reported Outcome Measures Used in Adult Survivors Experiencing Long-Term Effects After COVID-19 Infection: A Rapid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Barilaite, E., Watson, H., Hocaoglu, M. B.</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10.17294/2330-0698.2041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Patient-reported outcome measures (PROMs) are used in individuals experiencing long-term effects from COVID-19 infection, or Long COVID, to evaluate the quality of life and functional status of these individuals. However, little is known about which PROMs are being utilised and the psychometric properties of these PROMs. Our purpose was thus to explore which PROMs are used in Long COVID patients and to discuss the psychometric properties of the PROMs. METHODS: For this rapid review, a systematic literature search was performed in the PubMed, Embase, and CINAHL databases. The found studies were screened using the PRISMA flowchart. We then performed study quality appraisal and assessed the psychometric properties of the found PROMs. RESULTS: Per the systematic literature search and after removal of duplicates, 157 publications were identified for individual screening. After screening and eligibility assessment, 74 articles were selected for our review. In total, 74 PROMs were used and primarily comprised quality of life, fatigue, breathlessness, mental health, and smell/taste issues in COVID "long haulers." Five studies used newly developed, COVID-19-specific PROMs. We assessed the psychometric properties of the 10 most-used PROMs. The majority were found to be reliable and valid instruments. EQ-5D-5L was the most popular and highly rated PROM. CONCLUSIONS: We assessed PROMs used in Long COVID patients and evaluated their psychometric properties. EQ-5D-5L was the most favourably rated PROM. PROMs addressing mental health issues are crucial in managing anxiety and depression in Long COVID patients. New COVID-specific PROMs assess functional status and smell/taste perception and show great utilisation potential in olfactory training at COVID smell clinics. However, many reviewed PROMs currently lack sufficient analysis of their psychometric properties. Therefore, future research needs to examine these measures.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Patient Cent Res Rev</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w:t>
      </w:r>
    </w:p>
    <w:p w:rsidP="00000000" w:rsidRDefault="00000000" w:rsidR="00000000" w:rsidRPr="00000000" w:rsidDel="00000000">
      <w:pPr>
        <w:pStyle w:val="Heading2"/>
        <w:contextualSpacing w:val="0"/>
      </w:pPr>
      <w:r w:rsidR="00000000" w:rsidRPr="00000000" w:rsidDel="00000000">
        <w:rPr>
          <w:rStyle w:val="Heading2"/>
          <w:rtl w:val="0"/>
        </w:rPr>
        <w:t xml:space="preserve">191. Update on indices of disease activity in systemic sclerosis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Hudson, M., Steele, R., Canadian Scleroderma Research, Group, Baron,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10.1016/j.semarthrit.2007.01.005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An important barrier in the study of systemic sclerosis (SSc) is the difficulty in measuring disease activity. We reviewed the literature on currently available global measures of disease activity in SSc. METHODS: The PubMed database (1950-2006) was searched for the key words "scleroderma" in conjunction with "disease activity" and then "disease severity." All relevant original and review articles in English and French were reviewed. Textbooks in rheumatology and pertinent secondary references were also reviewed. RESULTS: There are currently 3 tools that are used to measure disease activity globally in SSc. Physician global assessments have been commonly used but have not been formally evaluated. The Valentini Disease Activity Index is a new measure that consists of 10 variables and a resulting score ranging from 0 to 10. It appears easy to use but lacks some face and content validity and responsiveness to change has yet to be demonstrated. The Medsger Disease Severity Scale measures disease severity in 9 organ systems. However, it assesses mostly damage and is difficult to score. CONCLUSIONS: There is currently no gold standard measure of disease activity in SSc. Given the need to measure disease activity in SSc and the limitations of the currently available instruments, efforts are ongoing to develop new ones. This represents a major challenge but one that remains particularly important to undertake.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Semin Arthritis Rheum</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w:t>
      </w:r>
    </w:p>
    <w:p w:rsidP="00000000" w:rsidRDefault="00000000" w:rsidR="00000000" w:rsidRPr="00000000" w:rsidDel="00000000">
      <w:pPr>
        <w:pStyle w:val="Heading2"/>
        <w:contextualSpacing w:val="0"/>
      </w:pPr>
      <w:r w:rsidR="00000000" w:rsidRPr="00000000" w:rsidDel="00000000">
        <w:rPr>
          <w:rStyle w:val="Heading2"/>
          <w:rtl w:val="0"/>
        </w:rPr>
        <w:t xml:space="preserve">662. Updated report on tools to measure outcomes of clinical trials in fragile X syndrome</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Budimirovic, D. B., Berry-Kravis, E., Erickson, C. A., Hall, S. S., Hessl, D., Reiss, A. L., King, M. K., Abbeduto, L., Kaufmann, W. E.</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10.1186/s11689-017-9193-x</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Fragile X syndrome (FXS) has been the neurodevelopmental disorder with the most active translation of preclinical breakthroughs into clinical trials. This process has led to a critical assessment of outcome measures, which resulted in a comprehensive review published in 2013. Nevertheless, the disappointing outcome of several recent phase III drug trials in FXS, and parallel efforts at evaluating behavioral endpoints for trials in autism spectrum disorder (ASD), has emphasized the need for re-assessing outcome measures and revising recommendations for FXS. METHODS: After performing an extensive database search (PubMed, Food and Drug Administration (FDA)/National Institutes of Health (NIH)'s www.ClinicalTrials.gov, etc.) to determine progress since 2013, members of the Working Groups who published the 2013 Report evaluated the available outcome measures for FXS and related neurodevelopmental disorders using the COSMIN grading system of levels of evidence. The latter has also been applied to a British survey of endpoints for ASD. In addition, we also generated an informal classification of outcome measures for use in FXS intervention studies as instruments appropriate to detect shorter- or longer-term changes. RESULTS: To date, a total of 22 double-blind controlled clinical trials in FXS have been identified through www.ClinicalTrials.gov and an extensive literature search. The vast majority of these FDA/NIH-registered clinical trials has been completed between 2008 and 2015 and has targeted the core excitatory/inhibitory imbalance present in FXS and other neurodevelopmental disorders. Limited data exist on reliability and validity for most tools used to measure cognitive, behavioral, and other problems in FXS in these trials and other studies. Overall, evidence for most tools supports a moderate tool quality grading. Data on sensitivity to treatment, currently under evaluation, could improve ratings for some cognitive and behavioral tools. Some progress has also been made at identifying promising biomarkers, mainly on blood-based and neurophysiological measures. CONCLUSION: Despite the tangible progress in implementing clinical trials in FXS, the increasing data on measurement properties of endpoints, and the ongoing process of new tool development, the vast majority of outcome measures are at the moderate quality level with limited information on reliability, validity, and sensitivity to treatment. This situation is not unique to FXS, since reviews of endpoints for ASD have arrived at similar conclusions. These findings, in conjunction with the predominance of parent-based measures particularly in the behavioral domain, indicate that endpoint development in FXS needs to continue with an emphasis on more objective measures (observational, direct testing, biomarkers) that reflect meaningful improvements in quality of life. A major continuous challenge is the development of measurement tools concurrently with testing drug safety and efficacy in clinical trials.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Neurodev Disord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684. Updating the Evidence on Functional Capacity Evaluation Methods: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De Baets, S., Calders, P., Schalley, N., Vermeulen, K., Vertriest, S., Van Peteghem, L., Coussens, M., Malfait, F., Vanderstraeten, G., Van Hove, G., Van de Velde, D.</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10.1007/s10926-017-9734-x</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Objectives To synthesize the evidence on the psychometrics functional capacity evaluation (FCE) methods. Methods A systematic literature search in nine databases. The resulting articles were screened based on predefined in- and exclusion criteria. Two reviewers independently performed this screening. Included studies were appraised based on their methodological quality. Results The search resulted in 20 eligible studies about nine different FCE methods. The Baltimore Therapeutic Equipment work simulator showed a moderate predictive validity. The Ergo-Kit (EK) showed moderate variability and high inter- and intra-rater reliability. Low discriminative abilities and high convergent validity were found for the EK. Concurrent validity of the EK and the ERGOS Work Simulator was low to moderate. Moderate to high test-retest, inter- and intra-reliability was found in the Isernhagen Work-Systems (IWS) FCE. The predictive validity of the IWS was low. The physical work performance evaluation (PWPE) showed moderate test-retest reliability and moderate to high inter-rater reliability. Low internal and external responsiveness were found for the PWPE, predictive validity was high. The predictive validity of the short-form FCE was also high but need to be further examined on several psychometric properties. Low discriminative and convergent validity were found for the work disability functional assessment battery. The WorkHab showed moderate to high test-retest, inter- and intra-rater reliability. Conclusion Well-known FCE methods have been rigorously studied, but some of the research indicates weaknesses in their reliability and validity. Future research should address how these weaknesses can be overcome.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Occup Rehabil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498. Upper extremity strength measurement for children with cerebral palsy: a systematic review of available instruments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Dekkers, K. J., Rameckers, E. A., Smeets, R. J., Janssen-Potten, Y.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10.2522/ptj.20130166</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In order to make inferences about strength related to development or treatment interventions, it is important to use measurement instruments that have sound clinimetric properties. PURPOSE: The objective of this review is to systematically evaluate the level of evidence of the clinimetric properties of instruments for measuring upper extremity muscle strength at the "body functions &amp; structures" level of the International Classification of Functioning, Disability and Health for Children and Youth (ICF-CY) for children with cerebral palsy (CP). DATA SOURCES: A systematic search of the PubMed, EMBASE, OTseeker, CINAHL, PEDro, and MEDLINE databases up to November 2012 was performed. STUDY SELECTION: Two independent raters identified and examined studies that reported the use of upper extremity strength measurement instruments and methods for children and adolescents with CP aged 0 to 18 years. DATA EXTRACTION: The COSMIN (COnsensus-based Standards for the selection of health status Measurement INstruments) checklist with 4-point rating scale was used by 2 independent raters to evaluate the methodological quality of the included studies. Best evidence synthesis was performed using COSMIN outcomes and the quality of the clinimetric properties. DATA SYNTHESIS: Six different measurement instruments or methods were identified. Test-retest, interrater, and intrarater reliability were investigated. Two test-retest reliability studies were rated as "fair" for the level of evidence. All other studies were rated as "unknown" for the level of evidence. LIMITATIONS: The paucity of literature describing clinimetric properties, especially other than reliability, of upper limb strength measurement instruments for children with CP was a limitation of the study. CONCLUSIONS: For measuring grip strength, the Jamar dynamometer is recommended. For other muscle groups, handheld dynamometry is recommended. Manual muscle testing (MMT) can be used in case of limited (below MMT grade 4) wrist strength or for total upper limb muscle strength. Based on lacking information regarding other clinimetric properties, caution is advised regarding interpretation of the results.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5</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