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287. Validity and reliability of tools to measure muscle mass, strength, and physical performance in community-dwelling older people: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Mijnarends, D. M., Meijers, J. M., Halfens, R. J., ter Borg, S., Luiking, Y. C., Verlaan, S., Schoberer, D., Cruz Jentoft, A. J., van Loon, L. J., Schols, J.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10.1016/j.jamda.2012.10.009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This study critically appraises the measurement properties of tools to measure muscle mass, strength, and physical performance in community-dwelling older people. This can support the selection of a valid and reliable set of tools that is feasible for future screening and identification of sarcopenia. METHODS: The databases PubMed, Cumulative Index to Nursing and Allied Health Literature (CINAHL), and Cochrane were systematically searched (January 11, 2012). Studies were included if they investigated the measurement properties or feasibility, or both, of tools to measure muscle mass, strength, and physical performance in community-dwelling older people aged &gt;/=60 years. The consensus-based standards for the selection of health status measurement instruments (COSMIN) checklist was used for quality appraisal of the studies. RESULTS: Sixty-two publications were deemed eligible, including tools for muscle mass (n = 16), muscle strength (n = 15), and physical performance (n = 31). Magnetic resonance imaging, computed tomography, and a 4-compartment model were used as gold standards for muscle mass assessment. Other frequently used measures of muscle mass are dual-energy x-ray and the bioelectrical impedance (BIA); however, reliability data of the BIA are lacking. Handheld dynamometry and gait speed or a short physical performance battery provide a valid and reliable measurement of muscle strength and physical performance, respectively. CONCLUSIONS: It can be concluded that several tools are available for valid and reliable measurements of muscle mass, strength, and performance in clinical settings. For a home-setting BIA, handheld dynamometry and gait speed or a short physical performance battery are the most valid, reliable, and feasible. The combination of selected instruments and its use for the screening and identification of sarcopenia in community-dwelling older people need further evaluation.</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Am Med Dir Assoc</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p w:rsidP="00000000" w:rsidRDefault="00000000" w:rsidR="00000000" w:rsidRPr="00000000" w:rsidDel="00000000">
      <w:pPr>
        <w:pStyle w:val="Heading2"/>
        <w:contextualSpacing w:val="0"/>
      </w:pPr>
      <w:r w:rsidR="00000000" w:rsidRPr="00000000" w:rsidDel="00000000">
        <w:rPr>
          <w:rStyle w:val="Heading2"/>
          <w:rtl w:val="0"/>
        </w:rPr>
        <w:t xml:space="preserve">1329. Validity of Clinical Measurement Instruments Assessing Scapular Function: Insufficient Evidence to Recommend Any Instrument for Assessing Scapular Posture, Movement, and Dysfunction-A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D'Hondt N, E., Pool, J. J. M., Kiers, H., Terwee, C. B., Veeger, Dhej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10.2519/jospt.2020.9265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determine the construct validity, criterion validity, and responsiveness of measurement instruments evaluating scapular function. DESIGN: Systematic review of measurement properties. LITERATURE SEARCH: The MEDLINE, Embase, CINAHL, and SPORTDiscus databases were systematically searched from inception until March 2019. STUDY SELECTION CRITERIA: Studies published in Dutch, English, or German were included when they evaluated at least 1 of the measurement properties of interest. No restrictions were made regarding participants' health status. DATA SYNTHESIS: Two reviewers independently evaluated study quality using the COSMIN checklist and extracted and analyzed data. Quality of evidence was graded by measurement property for each distinctive type of measurement. RESULTS: Thirty-one measurement instruments in 14 studies were categorized into instruments to measure scapular posture and movement, and to assess scapular dyskinesis. Quality of evidence was at most moderate for 4 instruments with respect to criterion validity. Of these, criterion validity for instruments measuring scapular protraction/retraction posture and rotation angles up to 120° of thoracohumeral elevation was sufficient. Criterion validity for instruments measuring asymmetrical scapular posture, range of motion, and the lateral scapular slide test was insufficient. Quality of evidence for measurement properties of all other instruments was graded lower. CONCLUSION: There is currently insufficient evidence to recommend any instrument for the clinical examination of scapular function. Measurement instruments to assess scapular dyskinesis are prone to misinterpretation and should therefore not be used as such. J Orthop Sports Phys Ther 2020;50(11):632-641. doi:10.2519/jospt.2020.9265.</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655. VALIDITY OF FIELD TESTS TO ESTIMATE CARDIORESPIRATORY FITNESS IN CHILDREN AND ADOLESCENTS: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Batista, M. B., Romanzini, C. L. P., Castro-Piñero, J., Ronque, E. R. V.</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10.1590/1984-0462/;2017;35;2;00002</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systematically review the literature to verify the validity of field-tests to evaluate cardiorespiratory fitness (CRF) in children and adolescents. DATA SOURCES: The electronic search was conducted in the databases: Medline (PubMed), SPORTDiscus, Scopus, Web of Science, in addition to the Latin American databases LILACS and SciELO. The search comprised the period from the inception of each database until February 2015, in English and Portuguese. All stages of the process were performed in accordance with the PRISMA flow diagram. DATA SYNTHESIS: After confirming the inclusion criteria, eligibility, and quality of the studies, 43 studies were analyzed in full; 38 obtained through the searches in the electronic databases, and 5 through private libraries, and references from other articles. Of the total studies, only 13 were considered high quality according to the adopted criteria. The most commonly investigated test in the literature was the 20-meter shuttle run (SR-20 m), accounting for 23 studies, followed by tests of distances between 550 meters and 1 mile, in 9 studies, timed tests of 6, 9, and 12 minutes, also 9 studies, and finally bench protocols and new test proposals represented in 7 studies. CONCLUSIONS: The SR-20-m test seems to be the most appropriate to evaluate the CRF of young people with the equation of Barnett, recommended to estimate VO2 peak. As an alternative for evaluating CRF, the 1-mile test is indicated with the equation proposed by Cureton for estimating VO2 peak.</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Rev Paul Pediatr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1935. Validity of functional patient-reported outcomes in head and neck oncology: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Mendez, A. I., Wihlidal, J. G. J., Eurich, D. T., Nichols, A. C., MacNeil, S. D., Seikaly, H.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10.1016/j.oraloncology.2021.105701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Malignancy and treatment effects in head and neck oncology can be devastating to functional aspects of patient life such as swallowing, blinking, speech, salivation, and facial expression. Historically, the subjective nature of patient experience has resulted in difficulty with quantification and measurement of functional outcomes. Patient-Reported Outcomes (PROs) are questionnaires developed with patient input, forming the new gold standard for clinician assessment of subjective functional outcomes. The current review aims to identify and characterize the validation of PROs pertaining to four critical functional outcomes in head and neck oncology: swallowing, speech, dry mouth, and chewing. A literature search was conducted using MEDLINE, EMBASE, and the Cochrane databases for published, English language, peer-reviewed abstracts involving patients ≥ 18 years of age. Of 708 results, 705 were excluded at abstract or full text screening for not meeting inclusion criteria, exclusion of head and neck SCC patients in development, or absence of a functional domain measurement. The three reviewed studies-Xerostomia Questionnaire, Swallowing Outcomes After Laryngectomy, and Edmonton 33-exhibited strong reliability and construct and content validity, though two applied only to individual functional outcomes within specific patient populations receiving radiation or laryngectomy. While many PROs have been developed in head and neck oncology, very few properly employed extensive patient input in the development process. Further work must be committed to increasing head and neck cancer patient input in PRO development, particularly in the functional domains of speech and chewing.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Oral Oncol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1473. Validity of Social Support Scales Utilized Among HIV-Infected and HIV-Affected Populations: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Wallace, D. D., Pack, A., Uhrig Castonguay, B., Stewart, J. L., Schalkoff, C., Cherkur, S., Schein, M., Go, M., Devadas, J., Fisher, E. B., Golin, C. 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10.1007/s10461-018-2294-z</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Social support enhances self-management and prevention of behaviors and is typically assessed using self-report scales; however, little is known about the validity of these scales in HIV-infected or affected populations. This systematic review aims to identify available validated social support scales used in HIV-infected and HIV-affected populations. A systematic literature search using key search terms was conducted in electronic databases. After rounds abstract screenings, full-text reviews, and data abstraction 17 studies remained, two of which assessed multiple social support scales, which increased number of scales to 19. Most scales assessed positive social support behaviors (n = 18). Most scales assessed perceived social support (n = 14) compared to received social support. Reliability ranged from 0.67 to 0.97. The most common forms of validation reported were content validity and construct validity and the least was criterion-related validity. Future research should seek to build evidence for validation for existing scales used in HIV-infected or HIV-affected populations.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AIDS Behav</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8</w:t>
      </w:r>
    </w:p>
    <w:p w:rsidP="00000000" w:rsidRDefault="00000000" w:rsidR="00000000" w:rsidRPr="00000000" w:rsidDel="00000000">
      <w:pPr>
        <w:pStyle w:val="Heading2"/>
        <w:contextualSpacing w:val="0"/>
      </w:pPr>
      <w:r w:rsidR="00000000" w:rsidRPr="00000000" w:rsidDel="00000000">
        <w:rPr>
          <w:rStyle w:val="Heading2"/>
          <w:rtl w:val="0"/>
        </w:rPr>
        <w:t xml:space="preserve">2192. Validity of teleneuropsychology for older adults in response to COVID-19: A systematic and critical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Marra, D. E., Hamlet, K. M., Bauer, R. M., Bowers, D.</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10.1080/13854046.2020.1769192</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Due to the recent COVID-19 pandemic, the field of neuropsychology must rapidly evolve to incorporate assessments delivered via telehealth, or teleneuropsychology (TNP). Given the increasing demand to deliver services electronically due to public health concerns, it is important to review available TNP validity studies. This systematic review builds upon the work of Brearly and colleagues' (2017) meta-analysis and provides an updated review of the literature, with special emphasis on test-level validity data.Method: Using similar methodology as Brearly and colleagues (2017) three internet databases (PubMed, EBSCOhost, PsycINFO) were searched for relevant articles published since 2016. Studies with older adults (aged 65+) who underwent face-to-face and TNP assessments in a counterbalanced cross-over design were included. After review, 10 articles were retained. Combined with nine articles from Brearly's analysis, a total of 19 studies were included in the systematic review.Results: Retained studies included samples from 5 different countries, various ethnic/cultural backgrounds, and diverse diagnostic populations. Test-level analysis suggests there are cognitive screeners (MMSE, MoCA), language tests (BNT, Letter Fluency), attention/working memory tasks (Digit Span Total), and memory tests (HVLT-R) with strong support for TNP validity. Other measures are promising but lack sufficient support at this time. Few TNP studies have done in-home assessments and most studies rely on a PC or laptop.Conclusions: Overall, there appears to be good support for TNP assessments in older adults. Challenges to TNP in the current climate are discussed. Finally, a provisional outline of viable TNP procedures used in our clinic is provided.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Neuropsychol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7-8</w:t>
      </w:r>
    </w:p>
    <w:p w:rsidP="00000000" w:rsidRDefault="00000000" w:rsidR="00000000" w:rsidRPr="00000000" w:rsidDel="00000000">
      <w:pPr>
        <w:pStyle w:val="Heading2"/>
        <w:contextualSpacing w:val="0"/>
      </w:pPr>
      <w:r w:rsidR="00000000" w:rsidRPr="00000000" w:rsidDel="00000000">
        <w:rPr>
          <w:rStyle w:val="Heading2"/>
          <w:rtl w:val="0"/>
        </w:rPr>
        <w:t xml:space="preserve">3110. Validity, reliability, and clinical usefulness of instruments for measuring thoracic kyphosis: a systematic review and meta-analysis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Nepomuceno, Apfa, Cury, A. C., Pinheiro, L. S. P., Sabino, G. S., Souza, T. R., Fonseca, S. T., Ocarino, J. M., Resende, R.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10.1016/j.bjpt.2025.101246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Thoracic hyperkyphosis is related to different health conditions, requiring precise evaluation in clinical settings. Several instruments have been proposed for assessing thoracic kyphosis, and previous studies have investigated their reliability and validity. AIMS: Systematically review studies evaluating the validity and reliability of instruments designed to measure thoracic kyphosis and classify their clinical utility. METHODS: MEDLINE and EMBASE (via Ovid) databases were used to search studies published until December 2023, and additional searches were conducted in Google Scholar and by hand search. Studies that analyzed the reliability and validity of noninvasive instruments for measuring thoracic kyphosis, regardless of population, study design, and language, were included. Two independent reviewers analyzed the titles, abstracts, and full text and assessed the methodological quality. Clinical utility was assessed using a 10-point scale. RESULTS: Seventy-two studies were included, and 15 instruments had their measurement properties explored: seven were grouped in a meta-analysis for validity, seven for intra-rater reliability, and six for inter-rater reliability. Despite the heterogeneity of estimated data, they presented a strong to moderate correlation with the gold standard and excellent intra- and inter-rater reliability. The instruments most frequently studied were the Flexicurve Angle and the Analog Inclinometer. CONCLUSION: The meta-analysis demonstrated that the Analog Inclinometer, Flexicurve Angle and Index, Photogrammetry, Smartphone applications, and Spinal Mouse were valid and reliable for assessing thoracic kyphosis. Also, the utility analysis suggested that the Analog Inclinometer, Flexicurve Angle, and Smartphone applications are recommended for clinical settings.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Braz J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315. Validity, reliability, and feasibility of clinical staging scales in dementia: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Olde Rikkert, M. G., Tona, K. D., Janssen, L., Burns, A., Lobo, A., Robert, P., Sartorius, N., Stoppe, G., Waldemar, G.</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New staging systems of dementia require adaptation of disease management programs and adequate staging instruments. Therefore, we systematically reviewed the literature on validity and reliability of clinically applicable, multidomain, and dementia staging instruments. A total of 23 articles describing 12 staging instruments were identified (N = 6109 participants, age 65-87). Reliability was studied in most (91%) of the articles and was judged moderate to good. Approximately 78% of the articles evaluated concurrent validity, which was good to very good, while discriminant validity was assessed in only 25%. The scales can be applied in +/-15 minutes. Clinical Dementia Rating (CDR), Global Deterioration scale (GDS), and Functional Assessment Staging (FAST) have been monitored on reliability and validity, and the CDR currently is the best-evidenced scale, also studied in international perspective, and is available in 14 languages. Taking into account the increasing differentiation of Alzheimer's disease in preclinical and predementia stages, there is an urgent need for global rating scales to be refined as well</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Am J Alzheimers.Dis.Other Demen.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426. Validity, reliability and responsiveness of patient-reported outcome questionnaires when assessing hip and groin disability: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Thorborg, K., Roos, E. M., Bartels, E. M., Petersen, J., Holmich, P.</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10.1136/bjsm.2009.060889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Novel treatment interventions are advancing rapidly in the management of hip and groin disability in the physically active young to middle-aged population. 
Objective 
To recommend the most suitable patientreported outcome (PRO) questionnaires for the assessment of hip and groin disability based on a systematic review of evidence of validity, reliability and responsiveness of these instruments.
Methods 
MEDLINE, EMBASE, CINAHL, Cochrane Central Register of Controlled Trials, PsycINFO, SportsDiscus and Web of Science were all searched up to January 2009. Two reviewers independently rated measurement properties of the PRO questionnaires in the included studies, according to a standardised criteria list.
Results 
The computerised search identifi ed 2737 publications. Forty-one publications investigating measurement properties of PRO questionnaires assessing hip or groin disability were included in the study. Twelve different questionnaires designed for patients with hip disability and one questionnaire for patients with groin disability were identifi ed.  Hip dysfunction and Osteoarthritis Outcome Score (HOOS) contains adequate measurement qualities to evaluate patients with hip osteoarthritis (OA) or total hip replacement (THR). Hip Outcome Score (HOS) is the best available questionnaire for evaluating hip arthroscopy, but the Inguinal Pain Questionnaire, the only identifi ed questionnaire evaluating groin disability, does not contain adequate measurement qualities. 
Conclusions 
HOOS is recommended for evaluating patients with hip OA undergoing non-surgical treatment and surgical interventions such as THR. HOS is recommended for evaluating patients undergoing hip arthroscopy. Current and new PRO questionnaires should also be evaluated in younger patients (age &lt;50) with hip and/or groin disability, including surgical and non-surgical patients.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British Journal of Sports Medicine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16</w:t>
      </w:r>
    </w:p>
    <w:p w:rsidP="00000000" w:rsidRDefault="00000000" w:rsidR="00000000" w:rsidRPr="00000000" w:rsidDel="00000000">
      <w:pPr>
        <w:pStyle w:val="Heading2"/>
        <w:contextualSpacing w:val="0"/>
      </w:pPr>
      <w:r w:rsidR="00000000" w:rsidRPr="00000000" w:rsidDel="00000000">
        <w:rPr>
          <w:rStyle w:val="Heading2"/>
          <w:rtl w:val="0"/>
        </w:rPr>
        <w:t xml:space="preserve">430. Validity studies of quality of life instruments for eating disorders: systematic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Tirico, P. P., Stefano, S. C., Blay, S.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10.1097/NMD.0b013e3181fe7294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To conduct a systematic review of studies that evaluated quality of life (QOL) among individuals with eating disorders, to analyze the characteristics of specific QOL instruments for eating disorders. Bibliographic searches were conducted in 6 databases and manual searches in 2 journals, covering the period from January 1975 to June 2008. The search strategies provided a total of 29,537 references. Out of the 41 studies that met the inclusion criteria for this review, 5 reported on the validation process for 4 specific instruments for eating disorders. Among the 4 specific QOL instruments for eating disorders, 3 presented adequate development procedures and psychometric properties. However, further research is needed to prove the validity and applicability of these instruments. Additional validation studies are needed, especially in relation to patients who deny that they have a disorder.</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Nerv Ment Dis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