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142. Upper limb activity measures for 5- to 16-year-old children with congenital hemiplegia: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Gilmore, R., Sakzewski, L., Boyd,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10.1111/j.1469-8749.2009.03369.x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AIM: This systematic review aimed to compare the validity, reliability, evaluative validity, and clinical utility of upper limb activity measures for children aged 5 to 16 years with congenital hemiplegia. METHOD: Electronic databases were searched to identify assessments that measure upper limb activity available for use and for which published validity and reliability data for the population are obtainable. Assessment items were coded according to the International Classification of Functioning, Disability and Health (ICF) categories to determine if at least 35% of the assessment items fell within the activity component of the ICF. Assessments that met these criteria were included in the review. RESULTS: Thirty-eight measures were identified, and five met the inclusion criteria. The best measure of unimanual capacity was the Melbourne Assessment of Unilateral Upper Limb Function (MUUL); however, the Shriners Hospital Upper Extremity Evaluation (SHUEE) and the Quality of Upper Extremity Skills Test (QUEST) could also be considered, depending on the type of information required. The performance-based measure of bimanual upper limb activity in children with hemiplegia with the best psychometric properties was the Assisting Hand Assessment (AHA). The ABILHAND-Kids is a parent-report, performance-based questionnaire with excellent clinical utility and psychometric properties. INTERPRETATION: Clinicians may choose to use more than one of these measures to detect changes in unimanual or bimanual upper limb activity.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Dev Med Child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521. Upper Limb Assessment in Multiple Sclerosis: A Systematic Review of Outcome Measures and their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Lamers, I., Kelchtermans, S., Baert, I., Feys,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10.1016/j.apmr.2014.02.023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provide an overview of applied upper limb outcome measures in multiple sclerosis (MS) according to the International Classification of Functioning, Disability and Health (ICF) levels and to review their psychometric properties in MS.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Archives of Physical Medicine and Rehabilitation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277. Upper limb function and deformity in cerebral palsy: a review of classification systems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McConnell, K., Johnston, L., Kerr,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10.1111/j.1469-8749.2011.03953.x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AIM: To review classification systems for the upper limb in children with cerebral palsy (CP), and evaluate their validity, reliability, and clinical utility to make recommendations for clinical practice and future research. METHOD: We comprehensively searched electronic databases to identify upper limb classification tools and associated evidence of psychometric testing. Two independent reviewers assessed the quality of the psychometric studies, and rated the clinical utility of each system using previously published tools. RESULTS: Eighteen classification systems were eligible for inclusion, with two primary functions: classification of function or deformity. Published evidence of psychometric testing was available for fewer than half of the identified systems. Reliability studies were frequently limited by sample size, rater blinding, representativeness, and the number of observers. The Manual Ability Classification System (MACS) demonstrated content validity and interrater reliability. The original and modified House functional, House thumb, swan-neck, and Zancolli systems had evidence of reliability; the modified House functional system also demonstrated criterion-related validity. INTERPRETATION: This review supports the use of the MACS and modified House functional system to classify upper limb function in children with CP. Similarly, the House thumb and Zancolli systems are recommended to classify thumb, and hand and wrist deformity respectively.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Dev Med Child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9</w:t>
      </w:r>
    </w:p>
    <w:p w:rsidP="00000000" w:rsidRDefault="00000000" w:rsidR="00000000" w:rsidRPr="00000000" w:rsidDel="00000000">
      <w:pPr>
        <w:pStyle w:val="Heading2"/>
        <w:contextualSpacing w:val="0"/>
      </w:pPr>
      <w:r w:rsidR="00000000" w:rsidRPr="00000000" w:rsidDel="00000000">
        <w:rPr>
          <w:rStyle w:val="Heading2"/>
          <w:rtl w:val="0"/>
        </w:rPr>
        <w:t xml:space="preserve">987. Upper limb function in everyday life of children with cerebral palsy: description and review of parent report measures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Wallen, Margaret, Stewart, Kirsty</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determine the role, in clinical practice and measurement of outcomes of upper limb interventions, of cerebral palsy-specific self- or parent-report measures of upper limb performance in everyday activities. METHOD: Search of databases and handsearching for information on test development procedures, psychometric properties or relevant studies to inform study objectives. RESULTS: Children's Hand-use Experience Questionnaire holds most promise for guiding treatment planning but requires more psychometric evidence. ABILHAND-Kids has the strongest evidence for reliability, validity and sensitivity to change; evaluates impact of intervention on bimanual performance and can be used for children with unilateral or bilateral cerebral palsy. The original and revised versions of the Pediatric Motor Activity Log (PMAL) evaluate unilateral rather than bimanual upper limb performance. Neither ABILHAND-Kids nor PMAL offer information to assist treatment planning. PMAL-R is the only measure for the 2-5-year age group. No measure was adequate for children younger than 2 years to ascertain parents' perception of upper limb function in everyday activities. CONCLUSIONS: Understanding upper limb performance in everyday life, as perceived by children with cerebral palsy and their families, informs a comprehensive assessment and acknowledges the importance of the perspectives of child and family. Implications for Rehabilitation Cerebral palsy-specific self- or parent-report measures of upper limb performance in everyday life complement observational assessments in understanding upper limb performance CHEQ provides clinical information, ABILHAND-Kids is validated for children with unilateral and bilateral cerebral palsy and possesses the most robust psychometric properties, Revised PMAL measures unilateral upper limb use. No adequate measure for children under 2 years exists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15</w:t>
      </w:r>
    </w:p>
    <w:p w:rsidP="00000000" w:rsidRDefault="00000000" w:rsidR="00000000" w:rsidRPr="00000000" w:rsidDel="00000000">
      <w:pPr>
        <w:pStyle w:val="Heading2"/>
        <w:contextualSpacing w:val="0"/>
      </w:pPr>
      <w:r w:rsidR="00000000" w:rsidRPr="00000000" w:rsidDel="00000000">
        <w:rPr>
          <w:rStyle w:val="Heading2"/>
          <w:rtl w:val="0"/>
        </w:rPr>
        <w:t xml:space="preserve">54. Urinary diaries: evidence for the development and validation of diary content, format, and duration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Bright, E., Drake, M. J., Abrams,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10.1002/nau.20994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AIMS: To review the published literature for evidence of urinary diary development and validation, in terms of diary format, content, and duration. To identify a fully validated urinary diary. METHODS: MEDLINE search to identify all published English literature to date regarding urinary diaries. The search terms used were: micturition chart, micturition diary, frequency volume chart, bladder chart, bladder diary, urinary chart, urinary diary, voiding chart, and voiding diary. Studies were reviewed to identify any descriptions of diary development and whether diary format, duration, or content had been subject to validity testing. RESULTS: One thousand four hundred sixty-three studies were identified using the described search terms. Of these 81 were deemed potentially relevant to the investigation and reviewed. Fourteen studies investigated optimum diary duration but only four described the development of a new diary tool. There is limited evidence regarding the validation of dairy content and format. No study describes the use of content, construct, or criterion validity as well as tests of reliability and responsiveness for diary development and validation. CONCLUSIONS: A validated urinary diary does not currently exist. A validated diary would provide an enhanced clinical tool, and, as with validated symptom questionnaires, would allow comparison between different research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Neurourol Urodyn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1859. Use and detailed metric properties of patient-reported outcome measures for rheumatoid arthritis: a systematic review covering two decades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Küçükdeveci, A. A., Elhan, A. H., Erdoğan, B. D., Kutlay, Ş, Gökmen, D., Ateş, C., Yüksel, S., Lundgren-Nilsson, A., Escorpizo, R., Stucki, G., Tennant, A., Conaghan, P.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10.1136/rmdopen-2021-001707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 importance of patient-reported outcome measures (PROMs) for rheumatoid arthritis (RA) clinical studies has been recognised for many years. The current study aims to describe the RA PROMs used over the past 20 years, and their performance metrics, to underpin appropriate tool selection. METHODS: The study included a systematic search for PROMs that have been in use over the period 2000-2019, with detailed documentation of their psychometric properties, and a user-friendly presentation of the extensive evidence base. RESULTS: 125 PROMs were identified with psychometric evidence available. The domains of pain, fatigue, emotional functions, mobility, physical functioning and work dominated, with self-efficacy and coping as personal factors. Domains such as stiffness and sleep were poorly served. The most frequently used PROMs included the Health Assessment Questionnaire Disability Index (HAQ), the Short Form 36 (SF-36), the EuroQoL and the Modified HAQ which, between them, appeared in more than 3500 papers. Strong psychometric evidence was found for the HAQ, and the SF-36 Physical Functioning and Vitality (fatigue) domains. Otherwise, all domains except stiffness, sleep, education and health utility, had at least one PROM with moderate level of psychometric evidence. CONCLUSION: There is a broad range of PROMs for measuring RA outcomes, but the quality of psychometric evidence varies widely. This work identifies gaps in key RA domains according to the biopsychosocial model.</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RMD Open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1282. Use and validity of child neurodevelopment outcome measures in studies on prenatal exposure to psychotropic and analgesic medications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Hjorth, S., Bromley, R., Ystrom, E., Lupattelli, A., Spigset, O., Nordeng, H.</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10.1371/journal.pone.0219778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 recent years there has been increased attention to child neurodevelopment in studies on medication safety in pregnancy. Neurodevelopment is a multifactorial outcome that can be assessed by various assessors, using different measures. This has given rise to a debate on the validity of various measures of neurodevelopment. The aim of this review was twofold. Firstly we aimed to give an overview of studies on child neurodevelopment after prenatal exposure to central nervous system acting medications using psychotropics and analgesics as examples, giving special focus on the use and validity of outcome measures. Secondly, we aimed to give guidance on how to conduct and interpret medication safety studies with neurodevelopment outcomes. We conducted a systematic review in the MEDLINE, Embase, PsycINFO, Web of Science, Scopus, and Cochrane databases from inception to April 2019, including controlled studies on prenatal exposure to psychotropics or analgesics and child neurodevelopment, measured with standardised psychometric instruments or by diagnosis of neurodevelopmental disorder. The review management tool Covidence was used for data-extraction. Outcomes were grouped as motor skills, cognition, behaviour, emotionality, or "other". We identified 110 eligible papers (psychotropics, 82 papers, analgesics, 29 papers). A variety of neurodevelopmental outcome measures were used, including 27 different psychometric instruments administered by health care professionals, 15 different instruments completed by parents, and 13 different diagnostic categories. In 23 papers, no comments were made on the validity of the outcome measure. In conclusion, establishing neurodevelopmental safety includes assessing a wide variety of outcomes important for the child's daily functioning including motor skills, cognition, behaviour, and emotionality, with valid and reliable measures from infancy through to adolescence. Consensus is needed in the scientific community on how neurodevelopment should be assessed in medication safety in pregnancy studies. Review registration number: CRD42018086101 in the PROSPERO database.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PLoS One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w:t>
      </w:r>
    </w:p>
    <w:p w:rsidP="00000000" w:rsidRDefault="00000000" w:rsidR="00000000" w:rsidRPr="00000000" w:rsidDel="00000000">
      <w:pPr>
        <w:pStyle w:val="Heading2"/>
        <w:contextualSpacing w:val="0"/>
      </w:pPr>
      <w:r w:rsidR="00000000" w:rsidRPr="00000000" w:rsidDel="00000000">
        <w:rPr>
          <w:rStyle w:val="Heading2"/>
          <w:rtl w:val="0"/>
        </w:rPr>
        <w:t xml:space="preserve">2588. Use of family proxies in quality of life research for cancer patients at the end of life: a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Tang, S. T., McCorkle,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10.1081/cnv-120005928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One of the main goals of end-of-life care is to achieve the best quality of life (QOL) for patients and their families. Quality of life, therefore, represents a significant outcome indicator to evaluate end-of-life care interventions. However, nonresponse bias and nonrandom missing data in QOL research at the end-of-life limits the generalizability and threatens the internal validity of the study findings. The use of family proxy of patients' QOL has been suggested as a solution. Demonstration of satisfactory levels of agreement between proxies and patients is warranted before family caregivers' or other proxies' assessments can be employed when patients cannot provide their own information. Contrary to the conclusion made by Sprangers and Aaronson [The Role of Health Care Providers and Significant Others in Evaluating the Quality of Life of Patients with Chronic Disease: A Review. J. Clin. Epidemiol. 1992, 45, 743-760], it is suggested from this review of literature that terminal cancer patients and their family caregivers agreed at least moderately well on the patients' QOL. The bias introduced by the use of family informants is generally of a modest magnitude. When discrepancies existed, without exception, family caregivers held a more negative view of patients' QOL than did patients. When using family proxies, this is important to remember. The degree of agreement between terminal cancer patients' and their family caregivers' assessments varies as a function of the dimensions of QOL being measured and the patient's health status. However, the accuracy of family caregivers' assessments can be improved by assessing both patients and family caregivers concurrently over time. Several suggestions for future research are provided to better understand the influencing factors of agreement between patients and family assessments and to enhance the quality of statistical analyses on this topic.</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Cancer Invest</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7-8</w:t>
      </w:r>
    </w:p>
    <w:p w:rsidP="00000000" w:rsidRDefault="00000000" w:rsidR="00000000" w:rsidRPr="00000000" w:rsidDel="00000000">
      <w:pPr>
        <w:pStyle w:val="Heading2"/>
        <w:contextualSpacing w:val="0"/>
      </w:pPr>
      <w:r w:rsidR="00000000" w:rsidRPr="00000000" w:rsidDel="00000000">
        <w:rPr>
          <w:rStyle w:val="Heading2"/>
          <w:rtl w:val="0"/>
        </w:rPr>
        <w:t xml:space="preserve">1091. Use of Objective Metrics in Dynamic Facial Reanimation: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Revenaugh, P. C., Smith, R. M., Plitt, M. A., Ishii, L., Boahene, K., Byrne,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10.1001/jamafacial.2018.0398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Importance: Facial nerve deficits cause significant functional and social consequences for those affected. Existing techniques for dynamic restoration of facial nerve function are imperfect and result in a wide variety of outcomes. Currently, there is no standard objective instrument for facial movement as it relates to restorative techniques. Objective: To determine what objective instruments of midface movement are used in outcome measurements for patients treated with dynamic methods for facial paralysis. Data Sources: Database searches from January 1970 to June 2017 were performed in PubMed, Embase, Cochrane Library, Web of Science, and Scopus. Only English-language articles on studies performed in humans were considered. The search terms used were ("Surgical Flaps"[Mesh] OR "Nerve Transfer"[Mesh] OR "nerve graft" OR "nerve grafts") AND (face [mh] OR facial paralysis [mh]) AND (innervation [sh]) OR ("Face"[Mesh] OR facial paralysis [mh]) AND (reanimation [tiab]). Study Selection: Two independent reviewers evaluated the titles and abstracts of all articles and included those that reported objective outcomes of a surgical technique in at least 2 patients. Main Outcomes and Measures: The presence or absence of an objective instrument for evaluating outcomes of midface reanimation. Additional outcome measures were reproducibility of the test, reporting of symmetry, measurement of multiple variables, and test validity. Results: Of 241 articles describing dynamic facial reanimation techniques, 49 (20.3%) reported objective outcome measures for 1898 patients. Of those articles reporting objective measures, there were 29 different instruments, only 3 of which reported all outcome measures. Conclusions and Relevance: Although instruments are available to objectively measure facial movement after reanimation techniques, most studies do not report objective outcomes. Of objective facial reanimation instruments, few are reproducible and able to measure symmetry and multiple data points. To accurately compare objective outcomes in facial reanimation, a reproducible, objective, and universally applied instrument is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JAMA Facial Plast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2307. Use of Patient-Reported Outcome Measures in the Surgical Treatment of Hidradenitis Suppurativa: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Claessens, A. A. E., van Alphen, T. C., Lapid, O., Hoogbergen, M. M., Ovadja, Z.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10.1097/dss.0000000000003431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Surgery is considered to be the best treatment for recurrent hidradenitis suppurativa (HS). Although it is necessary to assess the effect on health-related quality of life (HR-QoL), patient-reported outcome measures (PROMs) are scarce and heterogeneously used in the literature about the surgical treatment of HS. OBJECTIVE: The aim of this study was to provide a review of the complete literature for different PROMs used in the surgical treatment of HS and to assess their methodological qualities. METHODS: A systematic literature search of PubMed, Medline, Cochrane, CINAHL, and Embase with an assessment following the COnsensus-based standards for the Selection of health status Measurement INstrument criteria. RESULTS: The search identified 218 articles, with the inclusion of 6 studies for analysis. Identified PROMs were as follows: the Dermatology Life Quality Index (DLQI), the Derriford Appearance Scale-24 (DAS-24), and the Work Productivity and Activity Impairment (WPAI). These non-disease-specific PROMs seem to have poor results concerning development and content validation. CONCLUSION: The DLQI, WPAI, and DAS-24 are generic PROMs with poor methodological qualities for PROM development and content validation. Hidradenitis suppurativa-specific instruments are not used in available studies because they have been developed recently and, therefore, partially validated. More research is needed to further investigate methodological qualities of HS-specific instruments.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Dermatol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