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2858. Walking test outcomes in adults with genetic neuromuscular diseases: a systematic literature review of their measurement properties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Hadouiri, N., Fournel, I., Thauvin-Robinet, C., Jacquin-Piques, A., Ornetti, P., Gueugnon,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10.23736/s1973-9087.24.08095-x</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Neuromuscular diseases (NMDs) include a large group of heterogeneous diseases. NMDs frequently involve gait disorders, which affect quality of life. Several walking tests and tools have been described in the literature, but there is no consensus regarding the use of walking tests and tools in NMDs or of their measurement properties for walking outcomes. The aim of this review is to present an overview of walking tests, including their measurement properties when used in adults with inherited or genetic NMDs. The aim is to help clinicians and researchers choose the most appropriate test for their objective. EVIDENCE ACQUISITION: A systematic review was conducted after consulting MEDLINE (via PubMed), EMBASE, Science direct, Google Scholar and Cochrane Central Register of Controlled Trials databases for published studies in which walking outcome measurement properties were assessed. The validity, reliability, measurement error and responsiveness properties were evaluated in terms of statistical methods and methodological design qualities using the COnsensus-based Standards for the selection of health Measurement Instruments (COSMIN) guidelines. EVIDENCE SYNTHESIS: We included 46 studies in NMDs. These studies included 15 different walking tests and a wide variety of walking outcomes, assessed with six types of walking tools. Overall, the 6MWT was the most studied test in terms of measurement properties. The methodological design and statistical methods of most studies evaluating construct validity, reliability and measurement error were "very good." The majority of outcome measurements were valid and reliable. However, studies on responsiveness as minimal important difference or minimal important change were lacking or were found to have inadequate methodological and statistical methods according to the COSMIN guidelines. CONCLUSIONS: Most walking outcomes were found to be valid and reliable in NMDs. However, in view of the growing number of clinical trials, further studies are needed to clarify additional measurement properties.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Eur J Phys Rehabil 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42. Walking tests for stroke survivors: a systematic review of their measurement properties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van Bloemendaal, M., van de Water, A. T. M., van de Port, I. G. L.</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10.3109/09638288.2012.680649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To provide an overview of walking tests including their measurement properties that have been used in stroke survivors. Method: Electronic databases were searched using specific search strategies. Retrieved studies were selected by using specified inclusion criteria. A modified consensus-based standards for the selection of health status measurement instruments (COSMIN) checklist was applied for methodological quality assessment of the included studies. A quality assessment for statistical outcomes was used to assess measurement properties of the walking tests. Tests that were included were categorized according to the framework of the international classification of functioning, disability and health (ICF). Results: Thirty-two studies, evaluating 23 walking tests, were included. The tests assessed walking using the outcome measures of walking speed, walking distance, functional ambulation and walking on different surfaces. The methodological design and statistical methods of most studies evaluating reliability and criterion validity were sufficient, and found the outcome measures to be reliable and valid. However, data on measurement error, minimal important difference and minimal important change were lacking and responsiveness was correctly evaluated in one study only. Conclusions: Many walking tests have been clinimetrically evaluated in stroke survivors. Most walking tests were found to be reliable and valid.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Disability and Rehabilitation</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26</w:t>
      </w:r>
    </w:p>
    <w:p w:rsidP="00000000" w:rsidRDefault="00000000" w:rsidR="00000000" w:rsidRPr="00000000" w:rsidDel="00000000">
      <w:pPr>
        <w:pStyle w:val="Heading2"/>
        <w:contextualSpacing w:val="0"/>
      </w:pPr>
      <w:r w:rsidR="00000000" w:rsidRPr="00000000" w:rsidDel="00000000">
        <w:rPr>
          <w:rStyle w:val="Heading2"/>
          <w:rtl w:val="0"/>
        </w:rPr>
        <w:t xml:space="preserve">3056. Wearable sensors for clinical applications in epilepsy, Parkinson's disease, and stroke: a mixed-methods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Johansson, D., Malmgren, K., Alt Murphy,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10.1007/s00415-018-8786-y</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OBJECTIVES: Wearable technology is increasingly used to monitor neurological disorders. The purpose of this systematic review was to synthesize knowledge from quantitative and qualitative clinical researches using wearable sensors in epilepsy, Parkinson's disease (PD), and stroke. METHODS: A systematic literature search was conducted in PubMed and Scopus spanning from 1995 to January 2017. A synthesis of the main findings, reported adherence to wearables and missing data from quantitative studies, is provided. Clinimetric properties of measures derived from wearables in laboratory, free activities in hospital, and free-living environment were also evaluated. Qualitative thematic synthesis was conducted to explore user experiences and acceptance of wearables. RESULTS: In total, 56 studies (50 reporting quantitative and 6 reporting qualitative data) were included for data extraction and synthesis. Among studies reporting quantitative data, 5 were in epilepsy, 21 PD, and 24 studies in stroke. In epilepsy, wearables are used to detect and differentiate seizures in hospital settings. In PD, the focus is on quantification of cardinal motor symptoms and medication-evoked adverse symptoms in both laboratory and free-living environment. In stroke upper extremity activity, walking and physical activity have been studied in laboratory and during free activities. Three analytic themes emerged from thematic synthesis of studies reporting qualitative data: acceptable integration in daily life, lack of confidence in technology, and the need to consider individualization. CONCLUSIONS: Wearables may provide information of clinical features of interest in epilepsy, PD and stroke, but knowledge regarding the clinical utility for supporting clinical decision making remains to be established.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Neurol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8</w:t>
      </w:r>
    </w:p>
    <w:p w:rsidP="00000000" w:rsidRDefault="00000000" w:rsidR="00000000" w:rsidRPr="00000000" w:rsidDel="00000000">
      <w:pPr>
        <w:pStyle w:val="Heading2"/>
        <w:contextualSpacing w:val="0"/>
      </w:pPr>
      <w:r w:rsidR="00000000" w:rsidRPr="00000000" w:rsidDel="00000000">
        <w:rPr>
          <w:rStyle w:val="Heading2"/>
          <w:rtl w:val="0"/>
        </w:rPr>
        <w:t xml:space="preserve">19. Wearing-off scales in Parkinson's disease: critique and recommendations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Antonini, A., Martinez-Martin, P., Chaudhuri, R. K., Merello, M., Hauser, R., Katzenschlager, R., Odin, P., Stacy, M., Stocchi, F., Poewe, W., Rascol, O., Sampaio, C., Schrag, A., Stebbins, G. T., Goetz, C. G.</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10.1002/mds.23875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Wearing-off occurs in the majority of patients with Parkinson's disease after a few years of dopaminergic therapy. Because a variety of scales have been used to estimate wearing-off, the Movement Disorder Society commissioned a task force to assess their clinimetric properties. A systematic review was conducted to identify wearing-off scales that have either been validated or used in Parkinson's patients. A scale was designated "Recommended" if it had been used in clinical studies beyond the group that developed it, if it had been specifically used in Parkinson's disease reports, and if clinimetric studies had established that it is valid, reliable, and sensitive. "Suggested" scales met 2 of the above criteria, and those meeting 1 were "Listed." We identified 3 diagnostic and 4 severity rating scales for wearing-off quantification. Two questionnaires met the criteria to be Recommended for diagnostic screening (questionnaires for 19 and 9 items), and 1 was Suggested (questionnaire for 32 items). Only the patient diaries were Recommended to assess wearing-off severity, with the caveat of relatively limited knowledge of validity. Among the other severity assessment tools, the Unified Parkinson Disease Rating Scale version 3 and the version revised from the Movement Disorders Society were classified as Suggested, whereas the Treatment Response Scale was Listed.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Mov Disord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12</w:t>
      </w:r>
    </w:p>
    <w:p w:rsidP="00000000" w:rsidRDefault="00000000" w:rsidR="00000000" w:rsidRPr="00000000" w:rsidDel="00000000">
      <w:pPr>
        <w:pStyle w:val="Heading2"/>
        <w:contextualSpacing w:val="0"/>
      </w:pPr>
      <w:r w:rsidR="00000000" w:rsidRPr="00000000" w:rsidDel="00000000">
        <w:rPr>
          <w:rStyle w:val="Heading2"/>
          <w:rtl w:val="0"/>
        </w:rPr>
        <w:t xml:space="preserve">140. Weighing up the evidence-a systematic review of measures used for the sensation of breathlessness in obesity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Gerlach, Y., Williams, M. T., Coates, A.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10.1038/ijo.2012.49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Breathlessness on exertion is common in people with obesity. Assessments of breathlessness may include sensation (intensity, sensory quality or unpleasantness) and/or the behavioral/emotional consequences of the sensation (respiratory-related functional impairment, disability or quality of life). This systematic review of primary studies published since 2005 evaluated how has the sensation of breathlessness been assessed in adults with increased adiposity. A total of 41 articles were retained from the systematic search strategy resulting in 20 instruments. The Modified Borg Scale (perceived exertion-intensity), the Medical Research Council (MRC) Scale and Baseline Dyspnea Index (BDI; both assess respiratory-related functional impairment) were, respectively, the most frequently reported instruments. Few instruments had been tested for reliability and validity in people with increased adiposity. Visual Analog Scale, Modified Borg Scale, descriptors of sensory quality, MRC and BDI can be recommended as instruments based on their psychometric properties (reliability (correlations &gt;0.8)and concurrent validity (correlation with severity of airways obstruction and walking distance)). A greater number of instruments were identified that assessed the consequences of the breathlessness rather than breathlessness as a sensation. If sensation drives behavior, comprehensive data on the sensation of breathlessness might assist in understanding the behavioral consequences of interventions. International Journal of Obesity (2013) 37, 341-349; doi:10.1038/ijo.2012.49; published online 24 April 2012</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International Journal of Obesity</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3</w:t>
      </w:r>
    </w:p>
    <w:p w:rsidP="00000000" w:rsidRDefault="00000000" w:rsidR="00000000" w:rsidRPr="00000000" w:rsidDel="00000000">
      <w:pPr>
        <w:pStyle w:val="Heading2"/>
        <w:contextualSpacing w:val="0"/>
      </w:pPr>
      <w:r w:rsidR="00000000" w:rsidRPr="00000000" w:rsidDel="00000000">
        <w:rPr>
          <w:rStyle w:val="Heading2"/>
          <w:rtl w:val="0"/>
        </w:rPr>
        <w:t xml:space="preserve">957. Well-being measurement and the WHO health policy Health 2010: systematic review of measurement scales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Lindert, J, Bain, Pa, Kubzansky, LD, Stein,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Subjective well-being (SWB) contributes to health and mental health. It is a major objective of the new World Health Organization health policy framework, 'Health 2020'. Various approaches to defining and measuring well-being exist. We aimed to identify, map and analyse the contents of self-reported well-being measurement scales for use with individuals more than 15 years of age to help researchers and politicians choose appropriate measurement tools. METHODS: We conducted a systematic literature search in PubMed for studies published between 2007 and 2012, with additional hand-searching, to identify empirical studies that investigated well-being using a measurement scale. For each eligible study, we identified the measurement tool and reviewed its components, number of items, administration time, validity, reliability, responsiveness and sensitivity. RESULTS: The literature review identified 60 unique measurement scales. Measurement scales were either multidimensional (n = 33) or unidimensional (n = 14) and assessed multiple domains. The most frequently encountered domains were affects (39 scales), social relations (17 scales), life satisfaction (13 scales), physical health (13 scales), meaning/achievement (9 scales) and spirituality (6 scales). The scales included between 1 and 100 items; the administration time varied from 1 to 15 min. CONCLUSIONS: Well-being is a higher order construct. Measures seldom reported testing for gender or cultural sensitivity. The content and format of scales varied considerably. Effective monitoring and comparison of SWB over time and across geographic regions will require further work to refine definitions of SWB. We recommend concurrent evaluation of at least three self-reported SWB measurement scales, including evaluation for gender or cultural sensitivity</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Eur. J. Public Health</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380. What are the best outcome measurements for atopic eczema?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Schmitt, J., Langan, S., Williams, H.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Valid and reliable outcome measurements are a prerequisite for evidence-based practice. The comparative validity and reliability of outcome measurements for assessing atopic eczema (AE) severity is unclear. OBJECTIVE: We sought to assess the validity, reliability, sensitivity to change, and ease of use of outcome measurements for AE. We also sought to give recommendations on which outcomes to use in clinical research and for clinical monitoring. METHODS: We performed a systematic review and survey of clinical experts and patients. RESULTS: Twenty published outcome measurements were identified. There is evidence of adequate construct validity for 3 measurements (Severity Scoring of Atopic Dermatitis index [SCORAD], Eczema Area and Severity Index [EASI], and Three Item Severity Score), adequate internal consistency of 1 scale (Patient-oriented Eczema Measure [POEM]), adequate interobserver reliability of 5 measurements (Basic Clinical Scoring System; Nottingham Eczema Severity Score; Objective Severity Assessment of Atopic Dermatitis; Six Area, Six Sign Atopic Dermatitis severity score; and SCORAD), adequate test-retest reliability of 1 scale (POEM), and adequate sensitivity to change of 3 measurements (EASI, SCORAD, and Investigators' Global Atopic Dermatitis Assessment). Most outcome measurements have adequate content validity, as assessed by patients and experts. Data on the time to perform the assessment was identified for 8 outcome measurements. Only SCORAD, EASI, and POEM have been tested sufficiently and performed adequately. CONCLUSION: There are too many published outcome measures for AE. Most have not been tested properly or perform adequately when tested, and their continued use hampers scientific communication. CLINICAL IMPLICATIONS: Only SCORAD, EASI, and POEM currently perform adequately. These scales should be used in future studies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Allergy Clin.Immunol.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6</w:t>
      </w:r>
    </w:p>
    <w:p w:rsidP="00000000" w:rsidRDefault="00000000" w:rsidR="00000000" w:rsidRPr="00000000" w:rsidDel="00000000">
      <w:pPr>
        <w:pStyle w:val="Heading2"/>
        <w:contextualSpacing w:val="0"/>
      </w:pPr>
      <w:r w:rsidR="00000000" w:rsidRPr="00000000" w:rsidDel="00000000">
        <w:rPr>
          <w:rStyle w:val="Heading2"/>
          <w:rtl w:val="0"/>
        </w:rPr>
        <w:t xml:space="preserve">348. What are the best outcome measures for assessing plaque psoriasis severity? A systematic review of the literature</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Puzenat, E., Bronsard, V., Prey, S., Gourraud, P. A., Aractingi, S., Bagot, M., Cribier, B., Joly, P., Jullien, D., Le, Maitre M., Paul, C., Richard-Lallemand, M. A., Ortonne, J. P., Aubin, F.</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A wide variety of scoring systems have been proposed to assess severity of psoriasis. Given its importance as a health issue both for patients and health care systems, it is critically important to evaluate the validity and reliability of existing outcome measures. OBJECTIVE: The objective of this systematic review was to assess the extent of validation including the validity, reliability, sensitivity to change and ease of use of available outcome measures for psoriasis. MATERIALS AND METHODS: We conducted a systematic review of all clinical studies (prospective and retrospective) investigating the severity of psoriasis patients and published between January 1980 and June 2009. The following methodological validation and quality criteria were recorded systematically: construct validity, content validity and internal consistency, intra-observer variation and inter-observer variation, sensitivity to change and acceptability/ease of use assessed as time required to perform measurement. RESULTS: Based on methodological validation and quality criteria, six clinical severity scores were selected and analysed (PASI, BSA, PGA, LS-PGA, SPI and SAPASI scores). We did not find substantial evidence of construct validity for any of the psoriasis clinical severity scores. Content validity was studied by considering the PASI score as gold standard. The relative content validity was good for the LS-PGA, PGA, and SPI scores, which correlated strongly with the PASI score. The SAPASI and PASI scores showed moderate correlation. Internal consistency was good for the PASI and LS-PGA scores. The PASI, BSA, PGA and LS-PGA scores displayed limited intra-observer variation. The inter-observer variation was low for LS-PGA (ICC &lt; 0.5) and SAPASI, moderate for PASI, SPI and PGA and high for BSA (ICC &gt; 0.8). The PASI score and the SAPASI displayed moderate sensitivity to change. DISCUSSION: Based on this systematic review, it appears that none of the severity scores used for psoriasis meets all of the validation criteria required for an ideal score. However, we can conclude that the PASI score is the most extensively studied psoriasis clinical severity score and the most thoroughly validated according to methodological validation criteria. Despite certain limitations, use of the PASI score can be recommended for scientific evaluation of the clinical severity of psoriasis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Eur.Acad.Dermatol.Venereol.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2542. What Are the Dry Eye Questionnaires Available in the Scientific Literature Used for?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Sánchez-Brau, M., Seguí-Crespo, M., Cantó-Sancho, N., Tauste, A., Ramada, J.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10.1016/j.ajo.2022.10.019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Dry eye disease (DED) is a frequent chronic ophthalmic condition. Its diagnosis includes tests and patient reported outcomes (PRO) questionnaires. Although many PRO dry eye questionnaires (PRO-DEQs) are available, they differ greatly from each other and not all have been validated. The purpose of this study was to retrieve the PRO-DEQs present in the scientific literature by performing a descriptive analysis of them and identifying those with known validity and reliability characteristics and to perform a descriptive analysis of the geographic area, year of publication, and characteristics of the target population of the clinical studies that have used validated PRO-DEQs. DESIGN: Scoping review of the literature. METHODS: Searches were conducted in PubMed to retrieve PRO-DEQs published up to July 2018 and written in English, French, Italian or Spanish. RESULTS: One thousand six hundred two records were identified and 973 were included in the final analysis. Of these, 56 provided information on the design and validation of PRO-DEQs and 49 PRO-DEQs were identified. Twenty-two PRO-DEQs were validated (17 original and 5 modified) and 27 had no associated design, validity, and reliability studies. Most of the validated PRO-DEQs were designed in English, the number of items varies from 1 to 57, the dimensions are generally not specified, and they are self-administered. The greatest use of validated PRO-DEQs in clinical studies has been in Asia since 2010, with the Ocular Surface Disease Index being the most used. These questionnaires have been used mostly in adults, retired professionals, and people with visual diseases to diagnose DED. CONCLUSIONS: This study aims to encourage the use of validated PRO-DEQs to guarantee the quality of the results obtained and the comparability and replicability among studies.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Am J Ophthalmol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609. What clinimetric evidence exists for using hip-specific patient-reported outcome measures in pediatric hip impingement?</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d'Entremont, Agnes G., Cooper, Anthony P., Johari, Ashok, Mulpuri, Kishore</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Patient-reported outcomes (PROs) are an increasingly popular research tool used to evaluate the outcomes of surgical intervention. If applied appropriately, they can be useful both for disease monitoring and as a method of assessing the efficacy of treatment. Many disorders can lead to impingement in children and adolescents, but it is not clear if any PROs have been validated to evaluate outcomes in these populations. QUESTIONS/PURPOSES: We performed a systematic review of the literature to answer the following research questions: (1) Which hip-specific PROs are used in pediatric populations with impingement? (2) What clinimetric evidence exists for the use of these specific PROs in this population? METHODS: We performed two systematic searches of three databases (Medline, EMBASE, and Ovid All EBM Reviews). The first search aimed to identify specific PROs that have been applied to pediatric impingement populations. The second search aimed to find clinimetric evaluations of the PROs from the first search in this population. RESULTS: We found six hip-specific PROs applied in pediatric impingement: Harris Hip Score, modified Harris Hip Score, Iowa Hip Score, Merle d'Aubigne Hip Score, Hip Outcome Score, and Non-arthritic Hip Score. However, we found no papers validating any of these PROs in this population. Furthermore, we found no papers validating any of these PROs in any pediatric population. CONCLUSIONS: A number of adult PROs have been applied in pediatric impingement disorders without evidence of validation in any pediatric population. Further work to develop and validate a hip-specific pediatric PRO is required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Clin. Orthop. Relat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