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1802. Use of Patient-Reported Outcome Measures to Assess Outpatient Postpartum Recovery: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Sultan, P., Sharawi, N., Blake, L., Ando, K., Sultan, E., Aghaeepour, N., Carvalho, B., Sadana,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10.1001/jamanetworkopen.2021.11600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IMPORTANCE: Outpatient postpartum recovery is an underexplored area of obstetrics. There is currently no consensus regarding which patient-reported outcome measure (PROM) clinicians and researchers should use to evaluate postpartum recovery. OBJECTIVE: To evaluate PROMs of outpatient postpartum recovery using Consensus-Based Standards for the Selection of Health Measurement Instruments (COSMIN) guidelines. EVIDENCE REVIEW: An initial literature search performed in July 2019 identified postpartum recovery PROMs and validation studies. A secondary search in July 2020 identified additional validation studies. Both searches were performed using 4 databases (Web of Science, Embase, PubMed, and CINAHL), with no date limiters. Studies with PROMs evaluating more than 3 proposed outpatient postpartum recovery domains were considered. Studies were included if they assessed any psychometric measurement property of the included PROMs in the outpatient postpartum setting. The PROMs were assessed for the following 8 psychometric measurement properties, as defined by COSMIN: content validity, structural validity, internal consistency, cross-cultural validity and measurement invariance, reliability, measurement error, hypothesis testing, and responsiveness. Psychometric measurement properties were evaluated in each included study using the COSMIN criteria by assessing (1) the quality of the methods (very good, adequate, doubtful, inadequate, or not assessed); (2) overall rating of results (sufficient, insufficient, inconsistent, or indeterminate); (3) level of evidence assessed using the Grading of Recommendations, Assessment, Development and Evaluations assessment tool; and (4) level of recommendation, which included class A (recommended for use; showed adequate content validity with at least low-quality evidence for sufficient internal consistency), class B (not class A or class C), or class C (not recommended). FINDINGS: In total, 15 PROMs (7 obstetric specific and 8 non-obstetric specific) were identified, evaluating outpatient postpartum recovery in 46 studies involving 19 165 women. The majority of psychometric measurement properties of the included PROMs were graded as having very-low-level or low-level evidence. The best-performing PROMs that received class A recommendations were the Maternal Concerns Questionnaire, the Postpartum Quality of Life tool, and the World Health Organization Quality of Life-BREF. The remainder of the evaluated PROMs had insufficient evidence to make recommendations regarding their use (and received class B recommendations). CONCLUSIONS AND RELEVANCE: This review found that the best-performing PROMs currently available to evaluate outpatient postpartum recovery were the Maternal Concerns Questionnaire, the Postpartum Quality of Life tool, and the World Health Organization Quality of Life-BREF; however, these tools all had significant limitations. This study highlights the need to focus future efforts on robustly developing and validating a new PROM that may comprehensively evaluate outpatient postpartum recovery.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JAMA Netw Open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1608. Using Acute-phase Reactants to Inform the Development of Instruments for the Updated Psoriatic Arthritis Core Outcome Measurement Set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Elmamoun, M., Leung, Y. Y., O'Sullivan, D., Steinkoenig, I., Chandran, V., Gladman, D. D., FitzGerald, O. M., Orbai, A. M., Eder,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10.3899/jrheum.180195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Systemic inflammationˆ is assessed through measurement of acute-phase reactants such as C-reactive protein (CRP) and erythrocyte sedimentation rate (ESR). With few exceptions, most randomized controlled trials (RCT) have assessed acute-phase reactants (CRP and ESR) as part of the American College of Rheumatology (ACR) 20 response criteria. As part of the Group for Research and Assessment of Psoriasis and Psoriatic Arthritis (GRAPPA)-Outcome Measures in Rheumatology (OMERACT) working group, we performed a systematic review of the literature to assess the performance of inflammatory biomarkers in psoriatic arthritis (PsA). METHODS: A systematic search of PubMed and Embase was performed. The search included peer-reviewed articles and scientific meeting abstracts about RCT and longitudinal observational studies that assessed systemic inflammation using acute-phase reactants in PsA. Studies were assessed following the components of the OMERACT filter including construct validity, responsiveness, and predictive validity. RESULTS: There were 2764 articles retrieved, and 71 articles were included for this systematic review. Twenty-eight articles reported CRP and/or ESR separately, and the remaining articles reported CRP and/or ESR as part of the ACR response criteria. Studies assessing OMERACT responsiveness provided conflicting reports. Inflammatory biomarkers had construct validity for more active disease. Evidence suggests that an elevation of ESR predicts cardiovascular outcomes. CONCLUSION: Data regarding assessment of systemic inflammation using acute-phase reactants (CRP and ESR) are limited. There is only weak evidence to support normalization of these biomarkers in predicting good clinical outcomes/remission criteria. The predictive value for cardiovascular outcomes was generally good. Further studies to assess systemic inflammation in PsA using acute-phase reactants and other laboratory biomarkers are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Rheumatol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2018. Using Evaluative Criteria to Review Youth Anxiety Measures, Part I: Self-Report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Etkin, R. G., Shimshoni, Y., Lebowitz, E. R., Silverman, W.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10.1080/15374416.2020.1802736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Evidence-based assessment serves several critical functions in clinical child psychological science, including being a foundation for evidence-based treatment delivery. In this Evidence Base Update, we provide an evaluative review of the most widely used youth self-report measures assessing anxiety and its disorders. Guided by a set of evaluative criteria (De Los Reyes &amp; Langer, 2018), we rate the measures as Excellent, Good, or Adequate across their psychometric properties (e.g., construct validity). For the eight measures evaluated, most ratings assigned were Good followed by Excellent, and the minority of ratings were Adequate. We view these results overall as positive and encouraging, as they show that these youth anxiety self-report measures can be used with relatively high confidence to accomplish key assessment functions. Recommendations and future directions for further advancements to the evidence base are discussed.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Clin Child Adolesc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1776. Using Evaluative Criteria to Review Youth Anxiety Measures, Part II: Parent-Report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Etkin, R. G., Lebowitz, E. R., Silverman, W.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10.1080/15374416.2021.1878898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This Evidence Base Update of parent-report measures of youth anxiety symptoms is a companion piece to our update on youth self-report anxiety symptom measures (Etkin et al., 2021). We rate the psychometric properties of the parent-report measures as Adequate, Good, or Excellent using criteria developed by Hunsley and Mash (2008) and Youngstrom et al. (2017). Our review reveals that the evidence base for parent-report measures is considerably less developed compared with the evidence base for youth self-report measures. Nevertheless, several measures, the parent-report Screen for Child Anxiety-Related Emotional Disorders, Multidimensional Anxiety Scale for Children, and Spence Children's Anxiety Scale, were found to have Good to Excellent psychometric properties. We conclude our review with suggestions about which parent-report youth anxiety measures are best suited to perform different assessment functions and directions for additional research to expand and strengthen the evidence base.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Clin Child Adolesc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3106. Using game performance measure to assess upper limb motor function in children with neuromotor disorders: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Rose-Dulcina, K., Armand, S., Cacioppo,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10.1186/s12984-025-01699-5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Upper limb impairments affect children with neuromotor disorders, limiting daily activities and participation. Videogames (ex: virtual reality, computer-based games) have emerged as promising tools for upper limb rehabilitation, offering better engagement and effects on upper limb movements. The capacity of video games to be used for assessing upper limb function with game-based metrics has not yet been explored, and their validation remains unclear. This systematic review aims to determine if game-based metrics can serve as relevant measures to evaluate upper limb impairments in children with neuromotor disorders. METHODS: A systematic review (PROSPERO: CRD42024550469) was conducted in PUBMED, MEDLINE, Web of Science, and Cochrane according to PRISMA guidelines. Articles published from inception to the 26th of May 2025 were screened according to inclusion/exclusion criteria and data were extracted focusing on game characteristics, outcomes measured, and their measurement properties. RESULTS: After screening, 26 studies on 1092 articles were included. In total, 443 children, mostly with cerebral palsy (n = 394), mean age 10.1 ± 2.4 years, underwent videogames with quantitative measurements. A total of 112 upper limb game-based outcomes were identified, measured either from the game itself or external instruments. These outcomes included kinematics (60%), game scores (24%), actimetry data (10%), electromyography (5%), and kinetics (&gt;1%). Only 3 studies reported reliability data, with test-retest reliability ranging from poor to excellent across 7 outcomes. For discriminant validity, 8 studies included control participants, assessing 20 outcomes, of which 13 demonstrated the ability to differentiate between groups. Regarding responsiveness, pre-/post-therapy component was investigated through 12 studies across 52 outcomes. Only 29 showed significant improvements after intervention. Convergent validity, explored in 6 studies, reported moderate to high correlations with clinical assessments. CONCLUSION: The present systematic review identified a wide range of game categories and upper limb game performance outcomes, involving different instrumented tools, and covering an interesting range of gestures. Despite the relevance of the game context and the use of instrumented outcomes, there is a lack of validation. To be used as research outcomes and to guide therapies in clinical practice, important work on the measurement properties has to be done.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Neuroeng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978. Using the systems framework for postural control to analyze the components of balance evaluated in standardized balance measures: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Sibley, Kathryn M., Beauchamp, Marla K., Van Ooteghem, Karen, Straus, Sharon E., Jaglal, Susan B.</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identify components of postural control included in standardized balance measures for adult populations. DATA SOURCES: Electronic searches of MEDLINE, EMBASE, and CINAHL databases using keyword combinations of postural balance/equilibrium, psychometrics/reproducibility of results/predictive value of tests/validation studies, instrument construction/instrument validation, geriatric assessment/disability evaluation, gray literature, and hand searches. STUDY SELECTION: Inclusion criteria were measures with a stated objective to assess balance, adult populations (18y and older), at least 1 psychometric evaluation, 1 standing task, a standardized protocol and evaluation criteria, and published in English. Two reviewers independently identified studies for inclusion. Sixty-six measures were included. DATA EXTRACTION: A research assistant extracted descriptive characteristics and 2 reviewers independently coded components of balance in each measure using the Systems Framework for Postural Control, a widely recognized model of balance. DATA SYNTHESIS: Components of balance evaluated in these measures were underlying motor systems (100% of measures), anticipatory postural control (71%), dynamic stability (67%), static stability (64%), sensory integration (48%), functional stability limits (27%), reactive postural control (23%), cognitive influences (17%), and verticality (8%). Thirty-four measures evaluated 3 or fewer components of balance, and 1 measure-the Balance Evaluation Systems Test-evaluated all components of balance. CONCLUSIONS: Several standardized balance measures provide only partial information on postural control and omit important components of balance related to avoiding falls. As such, the choice of measure(s) may limit the overall interpretation of an individual's balance ability. Continued work is necessary to increase the implementation of comprehensive balance assessment in research and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Arch. Phys. Med.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2800. Using wearables to assess bradykinesia and rigidity in patients with Parkinson's disease: a focused, narrative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Teshuva, I., Hillel, I., Gazit, E., Giladi, N., Mirelman, A., Hausdorff,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10.1007/s00702-019-02017-9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potential of using wearable technologies for the objective assessment of motor symptoms in Parkinson's disease (PD) has gained prominence recently. Nonetheless, compared to tremor and gait impairment, less emphasis has been placed on the quantification of bradykinesia and rigidity. This review aimed to consolidate the existing research on objective measurement of bradykinesia and rigidity in PD through the use of wearables, focusing on the continuous monitoring of these two symptoms in free-living environments. A search of PubMed was conducted through a combination of keyword and MeSH searches. We also searched the IEEE, Google Scholar, Embase, and Scopus databases to ensure thorough results and to minimize the chances of missing relevant studies. Papers published after the year 2000 with sample sizes greater than five were included. Studies were assessed for quality and information was extracted regarding the devices used and their location on the body, the setting and duration of the study, the gold standard used as a reference for validation, the metrics used, and the results of each paper. Thirty-one and eight studies met the search criteria and evaluated bradykinesia and rigidity, respectively. Several studies reported strong associations between wearable-based measures and the gold-standard references for bradykinesia, and, to a lesser extent, rigidity. Only a few, pilot studies investigated the measurement of bradykinesia and rigidity in the home and free-living settings. While the current results are promising for the future of wearables, additional work is needed on their validation and adaptation in ecological, free-living settings. Doing so has the potential to improve the assessment and treatment of motor fluctuations and symptoms of PD more generally through real-time objective monitoring of bradykinesia and rigidity.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Journal of Neural Transmission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3253. Utilisation of patient-centred outcome measures in age-related macular degeneration research and clinical practice: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Loo, C. Y., Fenwick, E. K., Man, R. E. K., Lamoureux, E. L., Tan, A. C. S.</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10.1111/ceo.14466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To identify the utilisation, type, and psychometric properties of patient-centered outcome measures (PCOMs) associated with the performance-based assessment of visual function (VF) in age-related macular degeneration (AMD) in clinical care and research. METHODS: A systematic literature search identified studies, available in English, that used PCOMs to assess VF in patients with any AMD severity, published from January 2015 to November 2023. Two researchers screened studies for quality using the Mixed Methods Appraisal Tool (MMAT) 2018 and assessed the psychometric properties of the PCOMs with the guidance of Consensus-based Standards for the selection of health Measurement Instruments (COSMIN). RESULTS: Of 514 studies shortlisted in the literature, 31 were eligible with the majority (77.4%) fulfilling all the MMAT criteria, indicating good quality. The most used PCOM was reading (14/31 = 45.1%), with 5 of the 14 studies (35.7%) showing that the increasing severity and/or progression of AMD were associated with a worsening reading ability. AMD also negatively affected mobility and physical activity levels (7/31 = 22.6%), and visual search and exploration (4/31 = 12.9%). Based on the COSMIN checklist, apart from reading and physical activity measured with the accelerometer, the other PCOMs had 'inadequate' psychometric properties. CONCLUSIONS: Limited published studies include PCOMs as an assessment of VF in AMD patients. Apart from reading, there is a lack of robust validation data to support the widespread use of other PCOMs. Hence, well-designed, robustly validated, and simple to use PCOMs are required for more widespread implementation in AMD clinical care and research.</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Exp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912. Utility of Patient-Reported Outcome Instruments in Heart Failure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Kelkar, A. A., Spertus, J., Pang, P., Pierson, R. F., Cody, R. J., Pina, I. L., Hernandez, A., Butler,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10.1016/j.jchf.2015.10.015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Patient-reported outcomes (PRO) are defined as reports coming directly from patients about how they feel or function in relation to a health condition and its therapy. Although there are numerous compelling reasons why PRO could be an important help in clinical care, they have not evolved into clinical tools integrated into care. The purpose of this review is to assess existing PRO instruments for heart failure with respect to their psychometric properties and potential for use in clinical care. We performed a systematic search of articles published between July 2008 and January 2015 within the MEDLINE, PROMIS, PROQOLID, and Cochrane Library databases. Included instruments had to be developed and tested for heart failure and have had their development processes and psychometric properties described. A total of 31 instruments were identified, 9 of which met all inclusion criteria. After evaluating each remaining instrument in terms of psychometric and clinical criteria and symptom coverage, only 2 instruments-Minnesota Living with Heart Failure and Kansas City Cardiomyopathy questionnaire-met all evaluation criteria. Although clinically useful PRO instruments exist, increasing education to providers on the value and interpretability of PRO instruments, as well as a more streamlined approach to their implementation in the clinical setting is necessary. A clinical trial comparing the routine use of disease-specific PRO with clinical care could further support their incorporation into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JACC Heart Fail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631. Utility values in diabetic kidney disease: a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Kennedy-Martin, T., Paczkowski, R., Rayner, S.</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10.1185/03007995.2015.1041895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summarize the published literature on utilities for health states associated with diabetic kidney disease (DKD), including end-stage renal disease (ESRD). RESEARCH DESIGN AND METHODS: A literature review was conducted (MEDLINE, MEDLINE in process, EMBASE, NHS EED, HEED, CEA Registry, EconLit, RePEc, and HTA) to identify relevant articles published between January 2000 and July 2013. Results were assessed for relevance by two reviewers in line with the study protocol. MAIN OUTCOME MEASURES: For eligible studies, data extracted included patient population, health states, methods used to elicit utility values, and the source of the preference values. RESULTS: Twelve studies satisfied the inclusion criteria. They reported various utility and/or disutility scores for different DKD health states using a range of patient populations, utility approaches, and sources of preference values. The most common study country was the USA. Most of the studies collected data at one time point, but two had a longitudinal design. Three different utility instruments - EuroQoL (EQ-5D), Quality of Well-Being Scale (QWB), and 15-dimensional (15D) - were used to elicit utilities indirectly. The Time Trade-Off (TTO) approach was used in one study; another undertook a meta-analysis of published utility studies. Utilities were identified for different health states including DKD, ESRD-no dialysis, ESRD-dialysis, and transplant. One study reported utilities for patients by type of transplant. There was variation in values for the same health state between studies, and none of the studies reported utilities for the different stages of DKD. In the studies that undertook a comparison, utility values for those with DKD were generally found to be lower than those without DKD. CONCLUSIONS: This literature review highlights that at present utility scores (or disutility penalties) exist for relatively few health states in DKD. Further studies are needed to produce accurate and comprehensive utility scores that differentiate between different DKD health states.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Curr Med Res Opin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