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1067. Utility-Based Instruments for People with Dementia: A Systematic Review and Meta-Regression 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Li, L., Nguyen, K. H., Comans, T., Scuffham,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10.1016/j.jval.2017.09.005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Several utility-based instruments have been applied in cost-utility analysis to assess health state values for people with dementia. Nevertheless, concerns and uncertainty regarding their performance for people with dementia have been raised. OBJECTIVES: To assess the performance of available utility-based instruments for people with dementia by comparing their psychometric properties and to explore factors that cause variations in the reported health state values generated from those instruments by conducting meta-regression analyses. METHODS: A literature search was conducted and psychometric properties were synthesized to demonstrate the overall performance of each instrument. When available, health state values and variables such as the type of instrument and cognitive impairment levels were extracted from each article. A meta-regression analysis was undertaken and available covariates were included in the models. RESULTS: A total of 64 studies providing preference-based values were identified and included. The EuroQol five-dimension questionnaire demonstrated the best combination of feasibility, reliability, and validity. Meta-regression analyses suggested that significant differences exist between instruments, type of respondents, and mode of administration and the variations in estimated utility values had influences on incremental quality-adjusted life-year calculation. CONCLUSIONS: This review finds that the EuroQol five-dimension questionnaire is the most valid utility-based instrument for people with dementia, but should be replaced by others under certain circumstances. Although no utility estimates were reported in the article, the meta-regression analyses that examined variations in utility estimates produced by different instruments impact on cost-utility analysis, potentially altering the decision-making process in some circumstances.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Value Health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1108. Utilization of a Wide Array of Nonvalidated Outcome Scales in Pediatric Orthopaedic Publications: Can't We All Measure the Same Thing?</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Truong, W. H., Price, M. J., Agarwal, K. N., Suryavanshi, J. R., Somasegar, S., Thompson, M., Fabricant, P. D., Dodwell, E.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10.1097/bpo.0000000000001263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Clinical changes are best evaluated with standardized, validated outcomes, including both patient-reported outcome measures and surgeon-reported outcome measures (PROMs and SROMs). The purpose of this study was to describe the spectrum of outcome measures used in pediatric orthopaedic publications over the past 10 years and to determine the proportion that are in fact age-appropriate, validated, and appropriately applied in terms of condition and population. METHODS: The Journal of Bone and Joint Surgery, The Bone and Joint Journal, Journal of Pediatric Orthopaedics A and B, and Journal of Children's Orthopaedics were systematically searched for studies including children aged 18 and below, over a 10-year period from January 2005 to December 2014. Economic evaluations, letters, editorials, review articles, and clinical guidelines were excluded. SROMs and PROMs used were extracted, as were details on subject age and condition for which they were used. Each outcome scale was assessed for validity, and the proportion of scales used appropriately was calculated. Cochrane-Armitage test of trend was used to determine changes in PROM and SROM utilization over the study period. RESULTS: A total of 4614 articles were identified, of which 2251 met inclusion and exclusion criteria. In total, 259 (11.5%) of studies used a PROM, whereas 326 (14.5%) used a SROM. A total of 230 different outcome scales were identified; 115 were patient reported and 115 were surgeon reported. However, only 18.7% of SROMs and 38.3% of PROMs were applied to an age and disease-appropriate demographic. Overall, there was a significant increase in the overall utilization of PROMs during the study period (P=0.004), but no corresponding increase in pediatric-validated PROMs (P=0.164). SROM utilization did not significantly change over the study period (P=0.337). CONCLUSIONS: Within the field of pediatric orthopaedics, an expansive variety of outcome scales are used, many of which have not been validated in children. Improved uniformity in reporting of outcomes and use of disease and age-validated outcomes scales is essential to improve multicenter research collaboration and data quality to generate appropriate evidence-based conclusions and treatment strategies in pediatric orthopaedics. LEVEL OF EVIDENCE: Level IV-systematic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Pediatr Orthop</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1538. Validated Instruments of Quality of Life (QOL) in Patients With Acute Myeloid Leukemia (AML) and Other Cancers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Salas, M., Henderson, M., Wientzek-Fleischmann, A., Islam, Z., Tu, N., Bilitou, A., Elsharkawy, M., Stellmacher, U.</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10.3389/fphar.2020.01109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Acute myeloid leukemia (AML) can negatively impact quality of life (QOL). Few QOL instruments are specific to and have been validated in AML. This review aims to identify QOL instruments that have been validated in patients with AML and other cancers and summarize their psychometric properties reported in published literature. A literature review search was performed using PubMed and OVID (Biosis, Embase, MEDLINE) databases through June 25, 2020. Search terms included: QOL, health-related QOL, patient-reported outcomes and validity, reliability, validated, tools, instruments, test-retest, and leukemia myeloid acute, leukemia, myeloid, acute, acute myeloid leukemia. Articles were included if they focused on cancer and reported psychometric properties that could be extracted. Abstracts and their references were reviewed for inclusion. RESULTS: Twelve evaluating ten instruments were included. Functional Assessment of Cancer Therapy Leukemia (FACT-Leu) showed internal consistency (IC) of α = 0.86 to &gt;0.9, correlation with EQ-5D-3L of r &gt; 0.50, correlation with European Organisation for Research and Treatment of Cancer (EORTC) QLQ-Leu of ρ = 0.29-0.63, test-retest reliability of κ = 0.861. FACT-F showed correlations with EORTC QLQ-C30 of r = 0.40-0.83. Hematological Malignancy Patient-Reported Outcome (HM-PRO) showed intraclass correlation coefficient (ICC) of 0.94-0.98. EORTC-8D and EQ-5D-3L showed ICC = 0.595, correlations with each other of ρ = 0.137-0.634 and with EORTC QLQ-C30 of r = 0.651-0.917. EORTC QLQ-C30 showed person separation reliability of 0.47 to 0.90 and patient-observer agreement of 0.85. Life Ingredient Profile (LIP) showed IC of α = 0.29-0.77 and test-retest reliability of κ = 0.42-1.0. QOL-E showed correlation with FACT-general of R = 0.71, internal validity of α = 0.7, and test-retest reliability of standardized Cronbach's α = 0.7-0.92. EORTC QLQ-Leu showed IC of α = 0.6-0.79. The Acute Myeloid Leukemia-Quality of Life (AML-QOL) instrument showed IC of α = 0.72, correlations with EORTC QLQ-30 of magnitudes ρ = 0.59-0.72, and test-retest reliability of ICC = 0.52-0.91. CONCLUSION: Although several QOL instruments have been validated, more research is needed to determine the most clinically useful instruments in patients with AML.</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Pharmacol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236. Validated methods of cough assessment: a systematic review of the literature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Leconte, S., Ferrant, D., Dory, V., Degryse,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10.1159/000321231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Cough is a common symptom for which patients often seek medical advice and consume vast amounts of drugs. It is a real challenge for both the physician and the clinical researcher to evaluate a cough's clinical importance and its precise response to treatment. OBJECTIVES: This systematic literature review has the following objectives: first, to make an inventory of the validated tools for assessing cough, and second, to investigate the extent to which the results of various assessment methods can be correlated. METHODS: Two independent investigators searched the Medline, Embase, and Cochrane databases for validation studies on cough assessment tools. RESULTS: Thirty-four studies were included. Several ambulatory cough monitors automatically identify cough and have been validated in a limited number of patients. Three cough-specific quality-of-life scales (Leicester Cough Questionnaire, Cough Quality of Life Questionnaire, and Burden of Cough Questionnaire) have been validated. No validation studies of descriptive scores or visual analogue scales were found. The correlations between quality-of-life scores and cough frequency were good. The correlations between descriptive scores or visual analogue scales and more objective methods, such as cough frequency monitoring or quality-of-life scores, were inconsistent. CONCLUSION: Cough-specific quality-of-life questionnaires can provide valid outcomes for research into cough. Although the current developments in cough monitoring devices are promising, further studies on a larger scale, under more realistic conditions, and for different patterns of cough are required before they can be recommended for widespread use.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Respiration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1792. Validated Outcome Measures and Postsurgical Scar Assessment Instruments in Auricular Surgery: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Chu, S., Ramanathan, D., Thuener, J. E., Carroll, B. T.</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10.1097/dss.0000000000003095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 utilization of an assessment instrument that successfully analyzes validated outcome measures for auricular surgery is important for advancing evidence-based medicine. OBJECTIVE: To systematically review postsurgical scar assessment instruments and outcome measures after auricular surgery to assess if any individual or combination of 2 assessment instruments encompass all relevant, validated auricular outcome measures. METHODS: Two systematic reviews were conducted using the PubMed/MEDLINE and Ovid databases: one for postauricular surgical outcome measures and another for postsurgical scar assessment instruments. Auricular outcome measure articles were selected for inclusion if they included at least one auricular-specific validated outcome measure, and assessment tool articles were included if they referenced one or more specific tool(s) specifically designed to assess postsurgical scars. Assessment tools were evaluated based on which outcome measures each covered. RESULTS: There was no single postsurgical scar assessment instrument or combination of 2 instruments that covered all outcome measures within the 5 different categories (psychosocial well-being, functional, objective appearance, subjective appearance, and clinical-related outcomes) after auricular surgery. None of the instruments measured functional outcomes, such as the ability to wear glasses and hearing outcomes. CONCLUSION: There is currently no existing postsurgical scar assessment instrument that covers all outcome measures after auricular surgery.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Dermatol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w:t>
      </w:r>
    </w:p>
    <w:p w:rsidP="00000000" w:rsidRDefault="00000000" w:rsidR="00000000" w:rsidRPr="00000000" w:rsidDel="00000000">
      <w:pPr>
        <w:pStyle w:val="Heading2"/>
        <w:contextualSpacing w:val="0"/>
      </w:pPr>
      <w:r w:rsidR="00000000" w:rsidRPr="00000000" w:rsidDel="00000000">
        <w:rPr>
          <w:rStyle w:val="Heading2"/>
          <w:rtl w:val="0"/>
        </w:rPr>
        <w:t xml:space="preserve">2011. Validated Outcome Measures and Postsurgical Scar Assessment Instruments in Eyelid Surgery: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Ramanathan, D., Chu, S., Prendes, M., Carroll, B. T.</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10.1097/dss.0000000000003077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Determining which postsurgical scar assessment instruments, if any, cover important eyelid outcome measures can either attest to the strength of one or more instruments or reveal the need for a more comprehensive scale. OBJECTIVE: To systematically review validated outcome measures after eyelid surgery and postsurgical scar assessment tools to see whether any individual or combination of 2 assessment tools encompass all relevant, validated eyelid outcome measures. METHODS: Systematic reviews of validated eyelid outcome measures and postsurgical scar assessment tools were conducted using PubMed/MEDLINE and Ovid. Outcome measure papers that met inclusion criteria were sorted into 8 categories: Patient Subjective, Visual Function, Mechanical Function, Daily Activities, Adverse Effects, Aesthetic Quantitative: Clinical Measurements, Aesthetic Qualitative: Global, and Aesthetic Qualitative: Specific. Outcome measure papers were categorized into tiers of evidence support, and assessment tools were evaluated based on which outcome measures each covered. RESULTS: No one or combination of 2 assessment tools covered all selected eyelid outcome measures. Although measures related to the subjective patient experience were included in several of the assessment scales, none covered measures of visual function or eyelid-specific clinical measurements. CONCLUSION: There is currently no existing postsurgical scar assessment instrument that covers all important eyelid-specific outcome measures.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Dermatol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w:t>
      </w:r>
    </w:p>
    <w:p w:rsidP="00000000" w:rsidRDefault="00000000" w:rsidR="00000000" w:rsidRPr="00000000" w:rsidDel="00000000">
      <w:pPr>
        <w:pStyle w:val="Heading2"/>
        <w:contextualSpacing w:val="0"/>
      </w:pPr>
      <w:r w:rsidR="00000000" w:rsidRPr="00000000" w:rsidDel="00000000">
        <w:rPr>
          <w:rStyle w:val="Heading2"/>
          <w:rtl w:val="0"/>
        </w:rPr>
        <w:t xml:space="preserve">3179. Validated Questionnaires for the Assessment of Italian Patients with Pelvic Floor Dysfunctions: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Braga, A., Vigna, A., Barba, M., Caccia, G., Papadia, A., Campitiello, M. R., Serati, M., Frigerio,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10.1159/000542409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Pelvic floor dysfunction (PFD) is a pathological condition that significantly impacts women's health. It is therefore necessary to correctly diagnose it and offer the most appropriate treatment for her. Patient-reported outcomes (PROs) have been established, which include questionnaires measuring quality of life (QoL) and symptoms. Although several English-language questionnaires are available to assess PFDs and QoL concerns, relatively few have been validated for use in Italian. With a focus on validated PROs in Italian for assessing PFDs, this article aimed to provide a systematic overview of the literature with useful information on references and advice on how to access each unique questionnaire. METHODS: Up until March 1, 2024, a systematic review was conducted in accordance with the Preferred Reporting Items for Systematic Reviews and Meta-Analyses (PRISMA) statement. The PubMed/MEDLINE databases and websites were utilized to locate validated Italian-language PFD surveys. The text provides instructions on how to receive a copy of the questionnaire if it has been identified and confirmed to be possible. RESULTS: Thirty-five Italian-validated questionnaires were included: 17 out of 35 (48.6%) questionnaires focused on lower urinary tract symptoms, 1 (2.8%) on genital prolapse symptoms, 8 (22.8%) on sexuality, 3 (8.6%) on bowel symptoms, and 6 (17.2%) on pelvic dysfunctions. The literature search turned up seven more. Italian PRO validation documents compared to the last analysis. The Pelvic Organ Prolapse/Urinary Incontinence Sexual Questionnaire (PISQ-12), the Sexual Desire and Erotic Fantasies (SDEF) Questionnaire, the Sexual Inhibition/Sexual Excitation Scales (SIS/SES), the 12-Item Sexual Distress Scale (SDS) and 5-Item Sexual Distress Scale-Short Form (SDS-SF), the questionnaires from Vaizey and Wexner and the fecal incontinence severity index (FISI), the Pelvic Floor Distress Inventory (PFDI-20), and the Intermittent Catheterization Acceptance Test (I-CAT) are among the specifically newly validated PROs. CONCLUSIONS: In order to encourage the use of suitable PROs while examining PFDs in Italian patients, this systematic review is meant to be a useful tool.</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Gynecol Obstet Invest</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625. Validated questionnaires on intimacy in patients who have had cancer</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Hoole, J., Kanatas, A., Calvert, A., Rogers, S. N., Smith, A. B., Mitchell, D.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10.1016/j.bjoms.2015.05.003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Problems with intimacy in patients with cancer of the head and neck may not be recognised. Our aim was to review published papers on patient-reported outcomes that record concerns about intimacy, sex, and function, to help develop a tool for use in head and neck cancer. We specifically looked for instruments with evidence of validation in patients with cancer, which could be used to identify problems with intimacy and sexuality. After evaluating 2563 papers, we identified 20 that satisfied our inclusion criteria, and these have been presented in a tabulated form. This review has shown the need to develop a questionnaire on intimacy that is specific to patients with cancer of the head and neck. It is an important issue that must be addressed by clinical and research teams, and will be done most effectively if it is linked to specific interventions.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Oral Maxillofac Surg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7</w:t>
      </w:r>
    </w:p>
    <w:p w:rsidP="00000000" w:rsidRDefault="00000000" w:rsidR="00000000" w:rsidRPr="00000000" w:rsidDel="00000000">
      <w:pPr>
        <w:pStyle w:val="Heading2"/>
        <w:contextualSpacing w:val="0"/>
      </w:pPr>
      <w:r w:rsidR="00000000" w:rsidRPr="00000000" w:rsidDel="00000000">
        <w:rPr>
          <w:rStyle w:val="Heading2"/>
          <w:rtl w:val="0"/>
        </w:rPr>
        <w:t xml:space="preserve">1203. Validation of Patient-Reported Outcomes for Clinical Trials in Allergic Rhinitis: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Calderon, M. A., Casale, T. B., Demoly, P.</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10.1016/j.jaip.2019.01.015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Although regulatory authorities have recently recommended the use of a combined symptom-medication score as a primary efficacy end point, none has been psychometrically validated. Here, we sought to determine to what extent allergic rhinitis (AR)-related patient-reported outcomes (symptom scores, medication scores, disease control scores, and satisfaction or quality-of-life scales) have been assessed for construct, content, and/or criterion validity, reliability, responsiveness, and the minimal clinically important difference. We searched the PubMed database from January 1997 to June 2018 with logical combinations of key words related to validation, AR, and patient-rated outcomes and scales. From a total of 1705 potentially relevant publications, 55 were reviewed. Despite the current emphasis on a combined symptom-medication score for evaluating the efficacy of allergen immunotherapy in AR, symptom scores have not been extensively validated, and we did not find any publications describing the validation of a medication score. Disease control scales (mainly the Rhinitis Control Assessment Test, the Control of Allergic Rhinitis and Asthma Test, and the Allergic Rhinitis Control Test) and health-related quality-of-life scales (mainly the Rhinoconjunctivitis Quality of Life Questionnaire [RQLQ] and the mini-RQLQ) have been extensively validated in AR but have some practical disadvantages as primary efficacy criteria in clinical trials.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Allergy Clin Immunol Pract</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3446. Validation of Pediatric Self-Report Pain Scales in Sub-Saharan Africa: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Rineer, S., Kwakye, D., Ambrose, E. E., Jason, I. D. P., Smart, L.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10.1016/j.jpainsymman.2024.09.023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CONTEXT: Pediatric self-report pain scales must be validated in cultural/language contexts to provide optimal pain management. Sub-Saharan Africa included vast numbers of people groups, cultures, and languages. OBJECTIVE: This systematic review sought to identify studies that validated a self-report pediatric pain scale within a sub-Saharan African context. METHOD: We searched CINAHL, EMBASE, and PubMed combining four concepts: children, pain, sub-Saharan Africa, and scales. Two independent reviewers screened abstracts for the inclusion criteria: English, prospective studies, a pediatric population, and conducted in sub-Saharan Africa. Full text of qualifying citations was obtained. RESULTS: Of 1591 citations identified, six were included. Self-report pain scales included the Faces Pain Scale - Revised (FPS-R), Faces Pain Scale, McGill Questionnaire, Numerical Rating Scale (NRS), Oucher Pain Scale and Visual Analog Scale (VAS). Validation characteristics varied from construct validity (two studies) to convergent validity (three studies) and discriminant validity (three studies). Methods included qualitative and quantitative approaches. Pearson/Spearman's correlation coefficients were strongest between self-report pain scales and weakest when compared to observational scales. The interview-based studies also assessed decision making process, comprehension, ease of use, pain perception, gender, and societal roles. Languages included were English, Afrikaans, Xhosa, Amharic, Swahili, Grammar English, Cameroonian Pidgin English and French. CONCLUSION: 5 countries in Sub-Saharan Africa have a self-report pediatric pain scale validated in their national language/context. Validation methods varied widely from qualitative to quantitative, including convergent, discriminant and face validity. Given the burden of pediatric pain in sub-Saharan Africa, further work is required to provide culturally appropriate and language-specific pain tools.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Pain Symptom Manage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