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Target="docProps/app.xml" Type="http://schemas.openxmlformats.org/officeDocument/2006/relationships/extended-properties" Id="rId1"/><Relationship Target="docProps/core.xml" Type="http://schemas.openxmlformats.org/package/2006/relationships/metadata/core-properties" Id="rId2"/><Relationship Target="docProps/custom.xml" Type="http://schemas.openxmlformats.org/officeDocument/2006/relationships/custom-properties" Id="rId3"/><Relationship Target="word/document.xml" Type="http://schemas.openxmlformats.org/officeDocument/2006/relationships/officeDocument" Id="rId4"/></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background w:color="FFFFFF"/>
  <w:body>
    <w:p w:rsidP="00000000" w:rsidRDefault="00000000" w:rsidR="00000000" w:rsidRPr="00000000" w:rsidDel="00000000">
      <w:pPr>
        <w:pStyle w:val="Heading1"/>
        <w:contextualSpacing w:val="0"/>
      </w:pPr>
      <w:r w:rsidR="00000000" w:rsidRPr="00000000" w:rsidDel="00000000">
        <w:rPr>
          <w:rStyle w:val="Heading1"/>
          <w:rtl w:val="0"/>
        </w:rPr>
        <w:t xml:space="preserve">Search results</w:t>
      </w:r>
    </w:p>
    <w:p w:rsidP="00000000" w:rsidRDefault="00000000" w:rsidR="00000000" w:rsidRPr="00000000" w:rsidDel="00000000">
      <w:pPr>
        <w:pStyle w:val="Heading2"/>
        <w:contextualSpacing w:val="0"/>
      </w:pPr>
      <w:r w:rsidR="00000000" w:rsidRPr="00000000" w:rsidDel="00000000">
        <w:rPr>
          <w:rStyle w:val="Heading2"/>
          <w:rtl w:val="0"/>
        </w:rPr>
        <w:t xml:space="preserve">2020. Validation of semiquantitative FFQ administered to adults: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Sierra-Ruelas, É, Bernal-Orozco, M. F., Macedo-Ojeda, G., Márquez-Sandoval, Y. F., Altamirano-Martínez, M. B., Vizmanos, B.</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10.1017/s1368980020001834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conduct a systematic review of studies for the validation of semiquantitative FFQ (SFFQ) that assess food intake in adults. DESIGN: The authors conducted a systematic search in PubMed for articles published as late as January 2020 in Spanish, English, French and Portuguese. Individual searches (twelve in total) paired three hyphenated and non-hyphenated variations of 'semiquantitative food frequency questionnaire' with both 'validity' and 'validation' using the 'all fields' and the 'title/abstract' retrieval categories. Independent extraction of articles was performed by four authors using predefined data fields. SETTING: We searched for original SFFQ validation studies that analysed general diet composition (nutrients with or without food groups or energy analysis) in healthy adults, in any setting, and that also reported correlation coefficients. PARTICIPANTS: Healthy adults. RESULTS: Sixty articles were included. The preferred comparison standard for validation was food records (n 37). The main correlation coefficients used were Pearson's (n 41), and validity coefficients varied from -0·45 to 1. Most correlation coefficients were adjusted by energy (twelve studies presented only crude values). The elements mentioned most frequently were energy, macronutrients, cholesterol, SFA, PUFA, fibre, vitamin C, Ca and Fe. CONCLUSIONS: Although all these SFFQ are reported as validated, coefficients may vary across groups of foods and nutrients. Based on our findings, we suggest researchers to consult our revision before choosing a SFFQ and to review important issues about them, such as their validation, number of items, number of participants, etc. Systematic Review Registration: PROSPERO number CRD42017064716. Available at: http://www.crd.york.ac.uk/PROSPERO/display_record.asp?ID=CRD42017064716.</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Public Health Nutr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11</w:t>
      </w:r>
    </w:p>
    <w:p w:rsidP="00000000" w:rsidRDefault="00000000" w:rsidR="00000000" w:rsidRPr="00000000" w:rsidDel="00000000">
      <w:pPr>
        <w:pStyle w:val="Heading2"/>
        <w:contextualSpacing w:val="0"/>
      </w:pPr>
      <w:r w:rsidR="00000000" w:rsidRPr="00000000" w:rsidDel="00000000">
        <w:rPr>
          <w:rStyle w:val="Heading2"/>
          <w:rtl w:val="0"/>
        </w:rPr>
        <w:t xml:space="preserve">857. Validity and everyday clinical applicability of lumbar muscle fatigue assessment methods in patients with chronic non-specific low back pain: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Villafane, J. H., Gobbo, M., Peranzoni, M., Naik, G., Imperio, G., Cleland, J. A., Negrini, S.</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10.3109/09638288.2015.1107777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PURPOSE: This systematic literature review aimed at examining the validity and applicability in everyday clinical rehabilitation practise of methods for the assessment of back muscle fatiguability in patients with chronic non-specific low back pain (CNSLBP). METHODS: Extensive research was performed in MEDLINE, Cumulative Index of Nursing and Allied Health Literature (CINAHL), Embase, Physiotherapy Evidence Database (PEDro) and Cochrane Central Register of Controlled Trials (CENTRAL) databases from their inception to September 2014. Potentially relevant articles were also manually looked for in the reference lists of the identified publications. Studies examining lumbar muscle fatigue in people with CNSLBP were selected. Two reviewers independently selected the articles, carried out the study quality assessment and extracted the results. A modified Strengthening the Reporting of Observational Studies in Epidemiology (STROBE) scale was used to evaluate the scientific rigour of the selected works. RESULTS: Twenty-four studies fulfilled the selection criteria and were included in the systematic review. We found conflicting data regarding the validity of methods used to examine back muscle fatigue. The Biering-Sorensen test, performed in conjunction with surface electromyography spectral analysis, turned out to be the most widely used and comparatively, the most optimal modality currently available to assess objective back muscle fatigue in daily clinical practise, even though critical limitations are discussed. CONCLUSIONS: Future research should address the identification of an advanced method for lower back fatigue assessment in patients with CNSLBP which, eventually, might provide physical therapists with an objective and reliable test usable in everyday clinical practise. Implications for Rehabilitation Despite its limitations, the Biering-Sorensen test is currently the most used, convenient and easily available fatiguing test for lumbar muscles. To increase validity and reliability of the Biering-Sorensen test, concomitant activation of synergistic muscles should be taken into account. Pooled mean frequency and half-width of the spectrum are currently the most valid electromyographic parameters to assess fatigue in chronic non-specific low back pain. Body mass index, grading of pain and level of disability of the study population should be reported to enhance research quality.</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Disabil Rehabil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19</w:t>
      </w:r>
    </w:p>
    <w:p w:rsidP="00000000" w:rsidRDefault="00000000" w:rsidR="00000000" w:rsidRPr="00000000" w:rsidDel="00000000">
      <w:pPr>
        <w:pStyle w:val="Heading2"/>
        <w:contextualSpacing w:val="0"/>
      </w:pPr>
      <w:r w:rsidR="00000000" w:rsidRPr="00000000" w:rsidDel="00000000">
        <w:rPr>
          <w:rStyle w:val="Heading2"/>
          <w:rtl w:val="0"/>
        </w:rPr>
        <w:t xml:space="preserve">1351. Validity and reliability evidence for motor competence assessments in children and adolescents: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Hulteen, R. M., Barnett, L. M., True, L., Lander, N. J., Del Pozo Cruz, B., Lonsdale,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10.1080/02640414.2020.1756674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Valid and reliable tests of motor competence are necessary to allow researchers and practitioners to quantify levels of motor competence, identify skill deficiencies, and determine the effectiveness of motor skill interventions. The primary study aim was to systematically review the validity and reliability of scores derived from gross motor competence tests for typically developing child and adolescent populations. The secondary aim of this review was to identify the most prevalent motor skills assessed across all instruments. A search of seven electronic databases identified 57 different skill assessment tools from 107 studies. Construct validity was the most common measurement property examined (60 studies; 56%). Content validity (21 studies; 20%) was the least commonly explored measurement property. Scores derived from the Test of Gross Motor Development - second and third edition had the most support for validity and reliability. The most common skills included in these skill batteries were the overhand throw (n = 33), catch (n = 32), jump (n = 31) and hop (n = 26). Research efforts should focus on: (1) further investigation of measurement properties of existing tools rather than developing new assessments and (2) further investigation of existing tools and their measurement properties in adolescent populations.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Sports Sci</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15</w:t>
      </w:r>
    </w:p>
    <w:p w:rsidP="00000000" w:rsidRDefault="00000000" w:rsidR="00000000" w:rsidRPr="00000000" w:rsidDel="00000000">
      <w:pPr>
        <w:pStyle w:val="Heading2"/>
        <w:contextualSpacing w:val="0"/>
      </w:pPr>
      <w:r w:rsidR="00000000" w:rsidRPr="00000000" w:rsidDel="00000000">
        <w:rPr>
          <w:rStyle w:val="Heading2"/>
          <w:rtl w:val="0"/>
        </w:rPr>
        <w:t xml:space="preserve">3503. Validity and Reliability of Dynamic and Functional Balance Tests in People Aged 19-54: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Lesch, K. J., Tuomisto, S., Tikkanen, H. O., Venojärvi, M.</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10.26603/001c.94612</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Evaluating an impairment in an individual's capacity to maintain, achieve, or restore balance suggests a deficiency in postural control. For effective identification of individuals at risk for falls, balance assessment should exhibit reliability, validity, and ease of use. This systematic review concentrated on dynamic and functional balance assessment methods and their validity in healthy adults aged 19-54. The objective was to clarify the tools that health professionals can utilize to assess balance in this healthy population. METHODS: A systematic literature search conducted in August 2019 yielded nine articles meeting predefined selection criteria. Inclusion criteria required studies featuring healthy adult participants aged 19-54, published in English, and focusing on dynamic and functional balance testing. Exclusion criteria excluded studies involving participants with chronic diseases or musculoskeletal disorders, systematic reviews, professional athletes, and those lacking specific participant age information. The quality of the studies was evaluated using a modified PEDro scale. RESULTS: This review analyzed ten distinct postural balance tests. The Star Excursion Balance Test and Y-Balance Test exhibited moderate to high reliability, establishing them as dependable measures of dynamic balance. The Nintendo Wii Balance Board, Clever Balance Board, and Posturomed device also displayed excellent reliability for assessing dynamic postural balance. Comparing one-arm and two-arm functional reach tests, the one-arm reach test emerged as a more suitable option for evaluating dynamic balance among young adults. Moreover, an investigation comparing three dynamic balance tests (one-leg jump landing, Posturomed device, and stimulated forward fall) revealed a low correlation among these tests, indicating a measurement of different balance constructs. DISCUSSION: In conclusion, the Y-Balance Test stands out as the most practical dynamic balance assessment for clinical use, characterized by a standardized protocol, good repeatability, affordability, and ease of application. The Nintendo Wii Balance Board also presents itself as a cost-effective and reliable tool for dynamic balance evaluation in clinical settings. It is crucial to recognize that these tests appraise discrete postural skills, preventing direct comparisons between test outcomes. This review equips healthcare professionals with valuable insights into optimal balance assessment methods for the healthy, 19 to 54 aged population. LEVELS OF EVIDENCE: Level 3.</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Int J Sports Phys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2724. Validity and Reliability of Methods to Assess Movement Deficiencies Following Concussion: A COSMIN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Dunne, L. A. M., Cole, M. H., Cormack, S. J., Howell, D. R., Johnston, R. D.</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10.1186/s40798-023-00625-0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BACKGROUND: There is an increased risk of subsequent concussion and musculoskeletal injury upon return to play following a sports-related concussion. Whilst there are numerous assessments available for clinicians for diagnosis and during return to play following concussion, many may lack the ability to detect these subclinical changes in function. Currently, there is no consensus or collated sources on the reliability, validity and feasibility of these assessments, which makes it difficult for clinicians and practitioners to select the most appropriate assessment for their needs. OBJECTIVES: This systematic review aims to (1) consolidate the reliability and validity of motor function assessments across the time course of concussion management and (2) summarise their feasibility for clinicians and other end-users. METHODS: A systematic search of five databases was conducted. Eligible studies were: (1) original research; (2) full-text English language; (3) peer-reviewed with level III evidence or higher; (4) assessed the validity of lower-limb motor assessments used to diagnose or determine readiness for athletes or military personnel who had sustained a concussion or; (5) assessed the test-retest reliability of lower-limb motor assessments used for concussion management amongst healthy athletes. Acceptable lower-limb motor assessments were dichotomised into instrumented and non-instrumented and then classified into static (stable around a fixed point), dynamic (movement around a fixed point), gait, and other categories. Each study was assessed using the COSMIN checklist to establish methodological and measurement quality. RESULTS: A total of 1270 records were identified, with 637 duplicates removed. Titles and abstracts of 633 records were analysed, with 158 being retained for full-text review. A total of 67 records were included in this review; 37 records assessed reliability, and 35 records assessed the validity of lower-limb motor assessments. There were 42 different assessments included in the review, with 43% being non-instrumented, subjective assessments. Consistent evidence supported the use of instrumented assessments over non-instrumented, with gait-based assessments demonstrating sufficient reliability and validity compared to static or dynamic assessments. CONCLUSION: These findings suggest that instrumented, gait-based assessments should be prioritised over static or dynamic balance assessments. The use of laboratory equipment (i.e. 3D motion capture, pressure sensitive walkways) on average exhibited sufficient reliability and validity, yet demonstrate poor feasibility. Further high-quality studies evaluating the reliability and validity of more readily available devices (i.e. inertial measurement units) are needed to fill the gap in current concussion management protocols. Practitioners can use this resource to understand the accuracy and precision of the assessments they have at their disposal to make informed decisions regarding the management of concussion. TRAIL REGISTRATION: This systematic review was registered on PROSPERO (reg no. CRD42021256298).</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Sports Med Open</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3364. Validity and Reliability of Outcome Measurement Instruments for Cognitive Function in Alzheimer's Disease: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Zhang, Z. Z., Lyu, X. Y., Dai, X. W., Cong, J. N., Yang, F. X.</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10.1159/000545907</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INTRODUCTION: In this systematic review, we aimed to identify suitable assessment and measurement tools for screening individuals for cognitive impairment and Alzheimer's disease (AD). We conducted a comprehensive evaluation of the reliability and validity of cognitive function assessment instruments. Based on our findings, we offer insightful suggestions for further research on cognitive function scale development and clinical researchers in AD. METHODS: We searched the PubMed and CNKI databases for community-based studies aimed at developing or evaluating the validity or reliability of cognitive function assessment scales. Only studies written in English and Chinese that reported the development of cognitive function assessment scales and/or the validation of cognitive impairment severity in patients with cognitive impairment and AD were eligible for inclusion. The methodological quality of the studies, based on reliability (i.e., internal consistency and test-retest reliability) and validity (i.e., construct validity), was assessed using the consensus-based standards for the selection of health measurement instruments (COSMIN) according to the "worst score counts" principle. Subsequently, the measurement properties were rated qualitatively. Results were summarized and rated using the modified Grading of Recommendations, Assessment, Development, and Evaluation. Based on the results, recommendations were categorized into four levels: A, B, C, and D. RESULTS: We retrieved a total of 804 studies. Following screening, a total of 62 articles were included, which reported 49 cognitive impairment assessment scales. The methodological quality of studies ranged from inadequate to very good, and the measurement properties varied from sufficient (+) to indeterminate (?). We found that the AD Assessment Scale-cognitive subscale (ADAS-Cog), Montreal Cognitive Assessment (MoCA), Baylor Profound Mental Status Examination (BPMSE), Clinical Dementia Rating (CDR), and the other 28 scales had sufficient validity and reliability. CONCLUSION: Our evaluation according to the COSMIN guidelines suggested that the ADAS-Cog, MoCA, BPMSE, CDR scale, and Mini-mental State Examination could be used to assess the degree of cognitive impairment in patients with AD. When developing cognitive function assessment scales, factors such as time and linguistic and cultural differences could be carefully considered.</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Dement Geriatr Cogn Disord</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3505. Validity and reliability of outcome measures to assess dysfunctional breathing: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Mohan, V., Rathinam, C., Yates, D., Paungmali, A., Boos, C.</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10.1136/bmjresp-2023-001884</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This study aimed to systematically review the psychometric properties of outcome measures that assess dysfunctional breathing (DB) in adults. METHODS: Studies on developing and evaluating measurement properties to assess DB were included. The study investigated the empirical research published between 1990 and February 2022, with an updated search in May 2023 in the Cochrane Library database of systematic reviews and the Cochrane Central Register of Controlled Trials, the Ovid Medline (full), the Ovid Excerta Medica Database, the Ovid allied and complementary medicines database, the Ebscohost Cumulative Index to Nursing and Allied Health Literature and the Physiotherapy Evidence Database. The included studies' methodological quality was assessed using the COnsensus-based Standards for the selection of health Measurement INstruments (COSMIN) risk of bias checklist. Data analysis and synthesis followed the COSMIN methodology for reviews of outcome measurement instruments. RESULTS: Sixteen studies met the inclusion criteria, and 10 outcome measures were identified. The psychometric properties of these outcome measures were evaluated using COSMIN. The Nijmegen Questionnaire (NQ) is the only outcome measure with 'sufficient' ratings for content validity, internal consistency, reliability and construct validity. All other outcome measures did not report characteristics of content validity in the patients' group. DISCUSSION: The NQ showed high-quality evidence for validity and reliability in assessing DB. Our review suggests that using NQ to evaluate DB in people with bronchial asthma and hyperventilation syndrome is helpful. Further evaluation of the psychometric properties is needed for the remaining outcome measures before considering them for clinical use. PROSPERO REGISTRATION NUMBER: CRD42021274960.</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BMJ Open Respir Res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w:t>
      </w:r>
    </w:p>
    <w:p w:rsidP="00000000" w:rsidRDefault="00000000" w:rsidR="00000000" w:rsidRPr="00000000" w:rsidDel="00000000">
      <w:pPr>
        <w:pStyle w:val="Heading2"/>
        <w:contextualSpacing w:val="0"/>
      </w:pPr>
      <w:r w:rsidR="00000000" w:rsidRPr="00000000" w:rsidDel="00000000">
        <w:rPr>
          <w:rStyle w:val="Heading2"/>
          <w:rtl w:val="0"/>
        </w:rPr>
        <w:t xml:space="preserve">2648. Validity and Reliability of Pain and Behavioral Scales for Preterm Infants: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Glenzel, L., do Nascimento Oliveira, P., Marchi, B. S., Ceccon, R. F., Moran, C. A.</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10.1016/j.pmn.2023.06.010</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To systematically review the instruments used to assess behavior, stress, and/or pain in preterm newborns in the neonatal intensive care unit (NICU) and verify the validity and reliability of these instruments. DATA SOURCES: Electronic searches were conducted in PubMed/MEDLINE, Cochrane Library, Web of Science, Scientific Electronic Library Online (SciELO), Latin American and Caribbean Literature on Health Sciences (LILACS), and EBSCOhost Research Platform.12,295 records were found. REVIEW/ANALYSIS METHODS: 37 studies met the inclusion and exclusion criteria.  The COnsensus-based Standards for selecting health Measurement INstruments (COSMIN) checklist was used to assess the quality assessment and measurement properties. RESULTS: We identified 25 scales that assessed behavior, pain, and/or stress in preterm newborns. The Behavioral Indicators of Infant Pain (BIPP), Crying, Requires Oxygen, Increased Vital Signs, Expression, Sleeplessness (CRIES), Premature Infant Pain Profile (PIPP), and Premature Infant Pain Profile-Revised (PIPP-R) had scored "very good" in quality data. The PIPP and PIPP-R scales received the "very good" classification in validity assessment. The Evaluation Enfant Douleur (EVENDOL), Children's and Infants Postoperative Pain Scale (CHIPPS), PIPP-R, Neonatal Pain Agitation and Sedation Scale (N-PASS), Bernese Pain Scale for Neonates (BPSN), Faceless Acute Neonatal Pain Scale (FANS), BIIP, and Pain Assessment Scale for Preterm Infants (PASPI) obtained an assessment classified as excellent on reliability, both for inter-rater reliability and internal consistency, and the BPSN demonstrated a very strong value to intra-rater reliability. CONCLUSIONS: Considering the assessments of inter-rater reliability, internal consistency, and quality of scales by COSMIN, the BIPP, and PIPP-R, were the scales considered appropriate.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Pain Manag Nurs</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
      </w:r>
    </w:p>
    <w:p w:rsidP="00000000" w:rsidRDefault="00000000" w:rsidR="00000000" w:rsidRPr="00000000" w:rsidDel="00000000">
      <w:pPr>
        <w:pStyle w:val="Heading2"/>
        <w:contextualSpacing w:val="0"/>
      </w:pPr>
      <w:r w:rsidR="00000000" w:rsidRPr="00000000" w:rsidDel="00000000">
        <w:rPr>
          <w:rStyle w:val="Heading2"/>
          <w:rtl w:val="0"/>
        </w:rPr>
        <w:t xml:space="preserve">1825. Validity and Reliability of Palpatory Clinical Tests of Sacroiliac Joint Mobility: A Systematic Review and Meta-analysis</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Ribeiro, R. P., Guerrero, F. G., Camargo, E. N., Beraldo, L. M., Candotti, C. T.</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10.1016/j.jmpt.2021.01.001</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OBJECTIVE: The primary objective of this review was to investigate the reliability and validity of palpatory clinical tests of sacroiliac mobility. The secondary objective was to investigate which palpatory clinical tests of sacroiliac mobility exist in the literature. METHODS: PubMed, Embase, Scopus, Medline, and the Physiotherapy Evidence Database were searched. There was no restriction on the study design or participants. The data extracted from each study were sample size, study deign, and clinical test used. If there was information on reliability values, number of examiners, concurrent validity values, gold standard used, or inferential statistical test used, that was also extracted. For intraexaminer reliability, the data were expressed as κ values that were meta-analyzed using random effects. RESULTS: Fifteen palpatory clinical tests of sacroiliac mobility were identified from 28 studies; 14 studies performed inferential statistical analysis, all including analysis of interexaminer reliability, with κ values ranging from -0.05 to 0.77. Analysis of intraexaminer reliability was performed in 8 studies, with κ values ranging from 0.08 to 0.73. No study included in this systematic review verified the concurrent validity of the tests. Our meta-analysis of intraexaminer reliability showed moderate to good agreement results for the Gillet test (κ = 0.46), the standing flexion test (κ = 0.61), and the sitting flexion test (κ = 0.68). CONCLUSION: We found 15 palpatory clinical tests of sacroiliac mobility in this systematic review. According to our meta-analysis, only the sitting flexion test obtained a good and statistically significant intraexaminer agreement. Further studies are necessary to evaluate the reliability and validity of these tests.</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J Manipulative Physiol Ther</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4</w:t>
      </w:r>
    </w:p>
    <w:p w:rsidP="00000000" w:rsidRDefault="00000000" w:rsidR="00000000" w:rsidRPr="00000000" w:rsidDel="00000000">
      <w:pPr>
        <w:pStyle w:val="Heading2"/>
        <w:contextualSpacing w:val="0"/>
      </w:pPr>
      <w:r w:rsidR="00000000" w:rsidRPr="00000000" w:rsidDel="00000000">
        <w:rPr>
          <w:rStyle w:val="Heading2"/>
          <w:rtl w:val="0"/>
        </w:rPr>
        <w:t xml:space="preserve">340. Validity and reliability of radiological methods to assess proximal hip geometry in children with cerebral palsy: a systematic review</w:t>
      </w:r>
    </w:p>
    <w:p w:rsidP="00000000" w:rsidRDefault="00000000" w:rsidR="00000000" w:rsidRPr="00000000" w:rsidDel="00000000">
      <w:pPr>
        <w:contextualSpacing w:val="0"/>
        <w:rPr>
          <w:b w:val="1"/>
          <w:rtl w:val="0"/>
        </w:rPr>
      </w:pPr>
      <w:r w:rsidR="00000000" w:rsidRPr="00000000" w:rsidDel="00000000">
        <w:rPr>
          <w:b w:val="1"/>
          <w:rtl w:val="0"/>
        </w:rPr>
        <w:t xml:space="preserve">authors:</w:t>
      </w:r>
    </w:p>
    <w:p w:rsidP="00000000" w:rsidRDefault="00000000" w:rsidR="00000000" w:rsidRPr="00000000" w:rsidDel="00000000">
      <w:pPr>
        <w:contextualSpacing w:val="0"/>
      </w:pPr>
      <w:r w:rsidR="00000000" w:rsidRPr="00000000" w:rsidDel="00000000">
        <w:rPr>
          <w:rtl w:val="0"/>
        </w:rPr>
        <w:t xml:space="preserve">Pons, C., Remy-Neris, O., Medee, B., Brochard, S.</w:t>
      </w:r>
    </w:p>
    <w:p w:rsidP="00000000" w:rsidRDefault="00000000" w:rsidR="00000000" w:rsidRPr="00000000" w:rsidDel="00000000">
      <w:pPr>
        <w:contextualSpacing w:val="0"/>
        <w:rPr>
          <w:b w:val="1"/>
          <w:rtl w:val="0"/>
        </w:rPr>
      </w:pPr>
      <w:r w:rsidR="00000000" w:rsidRPr="00000000" w:rsidDel="00000000">
        <w:rPr>
          <w:b w:val="1"/>
          <w:rtl w:val="0"/>
        </w:rPr>
        <w:t xml:space="preserve">doi:</w:t>
      </w:r>
    </w:p>
    <w:p w:rsidP="00000000" w:rsidRDefault="00000000" w:rsidR="00000000" w:rsidRPr="00000000" w:rsidDel="00000000">
      <w:pPr>
        <w:contextualSpacing w:val="0"/>
      </w:pPr>
      <w:r w:rsidR="00000000" w:rsidRPr="00000000" w:rsidDel="00000000">
        <w:rPr>
          <w:rtl w:val="0"/>
        </w:rPr>
        <w:t xml:space="preserve">10.1111/dmcn.12169</w:t>
      </w:r>
    </w:p>
    <w:p w:rsidP="00000000" w:rsidRDefault="00000000" w:rsidR="00000000" w:rsidRPr="00000000" w:rsidDel="00000000">
      <w:pPr>
        <w:contextualSpacing w:val="0"/>
        <w:rPr>
          <w:b w:val="1"/>
          <w:rtl w:val="0"/>
        </w:rPr>
      </w:pPr>
      <w:r w:rsidR="00000000" w:rsidRPr="00000000" w:rsidDel="00000000">
        <w:rPr>
          <w:b w:val="1"/>
          <w:rtl w:val="0"/>
        </w:rPr>
        <w:t xml:space="preserve">abstract:</w:t>
      </w:r>
    </w:p>
    <w:p w:rsidP="00000000" w:rsidRDefault="00000000" w:rsidR="00000000" w:rsidRPr="00000000" w:rsidDel="00000000">
      <w:pPr>
        <w:contextualSpacing w:val="0"/>
      </w:pPr>
      <w:r w:rsidR="00000000" w:rsidRPr="00000000" w:rsidDel="00000000">
        <w:rPr>
          <w:rtl w:val="0"/>
        </w:rPr>
        <w:t xml:space="preserve">AIM: The aim of this systematic review was to assess the current validity and reliability of radiological methods used to measure proximal hip geometry in children with cerebral palsy. METHOD: A search was conducted using relevant keywords and inclusion/exclusion criteria of the MEDLINE, CINALH Plus, Embase, Web of Science, Academic Search Premier, The Cochrane Library, and PsychINFO databases. RESULTS: The migration percentage using X-rays showed excellent reliability and concurrent validity with three-dimensional (3D) measurements from computed tomography (CT) scans. The acetabular index, measured using X-rays had good reliability but moderate concurrent validity with 3D CT measurements; 3D CT scan indexes had greater reliability. The measurement of the neck shaft angle using X-rays showed excellent concurrent validity with measurements from 3D CT scans and excellent reliability. Regarding femoral anteversion, one study found an excellent correlation between two-dimensional CT and clinical assessment and excellent reliability. Two others showed less evidence for the use of CT ultrasounds. INTERPRETATION: Most of the X-ray-based measurements showed good to excellent metrological properties. More metrological evidence is needed for the assessment of femoral anteversion. Magnetic resonance imaging and ultrasound-based measurements have great potential although very little metrological evidence is available.</w:t>
      </w:r>
    </w:p>
    <w:p w:rsidP="00000000" w:rsidRDefault="00000000" w:rsidR="00000000" w:rsidRPr="00000000" w:rsidDel="00000000">
      <w:pPr>
        <w:contextualSpacing w:val="0"/>
        <w:rPr>
          <w:b w:val="1"/>
          <w:rtl w:val="0"/>
        </w:rPr>
      </w:pPr>
      <w:r w:rsidR="00000000" w:rsidRPr="00000000" w:rsidDel="00000000">
        <w:rPr>
          <w:b w:val="1"/>
          <w:rtl w:val="0"/>
        </w:rPr>
        <w:t xml:space="preserve">journal:</w:t>
      </w:r>
    </w:p>
    <w:p w:rsidP="00000000" w:rsidRDefault="00000000" w:rsidR="00000000" w:rsidRPr="00000000" w:rsidDel="00000000">
      <w:pPr>
        <w:contextualSpacing w:val="0"/>
      </w:pPr>
      <w:r w:rsidR="00000000" w:rsidRPr="00000000" w:rsidDel="00000000">
        <w:rPr>
          <w:rtl w:val="0"/>
        </w:rPr>
        <w:t xml:space="preserve">Dev Med Child Neurol</w:t>
      </w:r>
    </w:p>
    <w:p w:rsidP="00000000" w:rsidRDefault="00000000" w:rsidR="00000000" w:rsidRPr="00000000" w:rsidDel="00000000">
      <w:pPr>
        <w:contextualSpacing w:val="0"/>
        <w:rPr>
          <w:b w:val="1"/>
          <w:rtl w:val="0"/>
        </w:rPr>
      </w:pPr>
      <w:r w:rsidR="00000000" w:rsidRPr="00000000" w:rsidDel="00000000">
        <w:rPr>
          <w:b w:val="1"/>
          <w:rtl w:val="0"/>
        </w:rPr>
        <w:t xml:space="preserve">issue:</w:t>
      </w:r>
    </w:p>
    <w:p w:rsidP="00000000" w:rsidRDefault="00000000" w:rsidR="00000000" w:rsidRPr="00000000" w:rsidDel="00000000">
      <w:pPr>
        <w:contextualSpacing w:val="0"/>
      </w:pPr>
      <w:r w:rsidR="00000000" w:rsidRPr="00000000" w:rsidDel="00000000">
        <w:rPr>
          <w:rtl w:val="0"/>
        </w:rPr>
        <w:t xml:space="preserve">12</w:t>
      </w:r>
    </w:p>
    <w:sectPr>
      <w:pgSz w:w="12240" w:h="15840" w:orient="portrait"/>
      <w:pgMar w:top="1440" w:bottom="1440" w:left="1440" w:right="144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font w:name="Arial"/>
  <w:font w:name="Trebuchet M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p w:rsidP="00000000" w:rsidRDefault="00000000" w:rsidR="00000000" w:rsidRPr="00000000" w:rsidDel="00000000">
    <w:pPr>
      <w:contextualSpacing w:val="0"/>
      <w:jc w:val="center"/>
    </w:pPr>
    <w:r w:rsidR="00000000" w:rsidRPr="00000000" w:rsidDel="00000000">
      <w:rPr/>
      <w:fldChar w:fldCharType="begin"/>
      <w:instrText xml:space="preserve">PAGE</w:instrText>
      <w:fldChar w:fldCharType="end"/>
    </w:r>
    <w:r w:rsidR="00000000" w:rsidRPr="00000000" w:rsidDel="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isplayBackgroundShape w:val="1"/>
  <w:defaultTabStop w:val="720"/>
  <w:compat>
    <w:compatSetting w:val="14" w:name="compatibilityMode" w:uri="http://schemas.microsoft.com/office/word"/>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ocDefaults>
    <w:rPrDefault>
      <w:rPr>
        <w:rFonts w:cs="Arial" w:hAnsi="Arial" w:eastAsia="Arial" w:ascii="Arial"/>
        <w:b w:val="0"/>
        <w:i w:val="0"/>
        <w:caps w:val="0"/>
        <w:smallCaps w:val="0"/>
        <w:strike w:val="0"/>
        <w:color w:val="333333"/>
        <w:sz w:val="20"/>
        <w:u w:val="none"/>
        <w:vertAlign w:val="baseline"/>
      </w:rPr>
    </w:rPrDefault>
    <w:pPrDefault>
      <w:pPr>
        <w:keepNext w:val="0"/>
        <w:keepLines w:val="0"/>
        <w:widowControl w:val="1"/>
        <w:spacing w:lineRule="auto" w:before="0" w:after="0" w:line="320"/>
        <w:ind w:left="0" w:right="0" w:firstLine="0"/>
        <w:jc w:val="left"/>
      </w:pPr>
    </w:pPrDefault>
  </w:docDefaults>
  <w:style w:styleId="Normal" w:type="paragraph" w:default="1">
    <w:name w:val="normal"/>
  </w:style>
  <w:style w:styleId="TableNormal" w:type="table" w:default="1">
    <w:name w:val="Table Normal"/>
    <w:pPr>
      <w:spacing w:lineRule="auto" w:line="459.99999999999994" w:before="0" w:after="0"/>
    </w:pPr>
  </w:style>
  <w:style w:styleId="Heading1" w:type="paragraph">
    <w:name w:val="heading 1"/>
    <w:basedOn w:val="Normal"/>
    <w:next w:val="Normal"/>
    <w:pPr>
      <w:keepNext w:val="0"/>
      <w:keepLines w:val="0"/>
      <w:widowControl w:val="1"/>
      <w:spacing w:lineRule="auto" w:after="120"/>
      <w:contextualSpacing w:val="1"/>
    </w:pPr>
    <w:rPr>
      <w:rFonts w:cs="Palatino" w:hAnsi="Palatino" w:eastAsia="Palatino" w:ascii="Palatino"/>
      <w:sz w:val="36"/>
    </w:rPr>
  </w:style>
  <w:style w:styleId="Heading2" w:type="paragraph">
    <w:name w:val="heading 2"/>
    <w:basedOn w:val="Normal"/>
    <w:next w:val="Normal"/>
    <w:pPr>
      <w:keepNext w:val="0"/>
      <w:keepLines w:val="0"/>
      <w:widowControl w:val="1"/>
      <w:spacing w:lineRule="auto" w:before="120" w:after="160"/>
      <w:contextualSpacing w:val="1"/>
    </w:pPr>
    <w:rPr>
      <w:rFonts w:cs="Arial" w:hAnsi="Arial" w:eastAsia="Arial" w:ascii="Arial"/>
      <w:b w:val="1"/>
      <w:sz w:val="26"/>
    </w:rPr>
  </w:style>
  <w:style w:styleId="Heading3" w:type="paragraph">
    <w:name w:val="heading 3"/>
    <w:basedOn w:val="Normal"/>
    <w:next w:val="Normal"/>
    <w:pPr>
      <w:keepNext w:val="0"/>
      <w:keepLines w:val="0"/>
      <w:widowControl w:val="1"/>
      <w:spacing w:lineRule="auto" w:before="120" w:after="160"/>
      <w:contextualSpacing w:val="1"/>
    </w:pPr>
    <w:rPr>
      <w:rFonts w:cs="Arial" w:hAnsi="Arial" w:eastAsia="Arial" w:ascii="Arial"/>
      <w:b w:val="1"/>
      <w:i w:val="1"/>
      <w:color w:val="666666"/>
      <w:sz w:val="24"/>
    </w:rPr>
  </w:style>
  <w:style w:styleId="Heading4" w:type="paragraph">
    <w:name w:val="heading 4"/>
    <w:basedOn w:val="Normal"/>
    <w:next w:val="Normal"/>
    <w:pPr>
      <w:keepNext w:val="0"/>
      <w:keepLines w:val="0"/>
      <w:widowControl w:val="1"/>
      <w:spacing w:lineRule="auto" w:before="120" w:after="120"/>
      <w:contextualSpacing w:val="1"/>
    </w:pPr>
    <w:rPr>
      <w:rFonts w:cs="Palatino" w:hAnsi="Palatino" w:eastAsia="Palatino" w:ascii="Palatino"/>
      <w:b w:val="1"/>
      <w:sz w:val="24"/>
    </w:rPr>
  </w:style>
  <w:style w:styleId="Heading5" w:type="paragraph">
    <w:name w:val="heading 5"/>
    <w:basedOn w:val="Normal"/>
    <w:next w:val="Normal"/>
    <w:pPr>
      <w:keepNext w:val="0"/>
      <w:keepLines w:val="0"/>
      <w:widowControl w:val="1"/>
      <w:spacing w:lineRule="auto" w:before="120" w:after="120"/>
      <w:contextualSpacing w:val="1"/>
    </w:pPr>
    <w:rPr>
      <w:rFonts w:cs="Arial" w:hAnsi="Arial" w:eastAsia="Arial" w:ascii="Arial"/>
      <w:b w:val="1"/>
      <w:sz w:val="22"/>
    </w:rPr>
  </w:style>
  <w:style w:styleId="Heading6" w:type="paragraph">
    <w:name w:val="heading 6"/>
    <w:basedOn w:val="Normal"/>
    <w:next w:val="Normal"/>
    <w:pPr>
      <w:keepNext w:val="0"/>
      <w:keepLines w:val="0"/>
      <w:widowControl w:val="1"/>
      <w:spacing w:lineRule="auto" w:before="120" w:after="120"/>
      <w:contextualSpacing w:val="1"/>
    </w:pPr>
    <w:rPr>
      <w:rFonts w:cs="Arial" w:hAnsi="Arial" w:eastAsia="Arial" w:ascii="Arial"/>
      <w:i w:val="1"/>
      <w:color w:val="666666"/>
      <w:sz w:val="22"/>
      <w:u w:val="single"/>
    </w:rPr>
  </w:style>
  <w:style w:styleId="Title" w:type="paragraph">
    <w:name w:val="title"/>
    <w:basedOn w:val="Normal"/>
    <w:next w:val="Normal"/>
    <w:pPr>
      <w:keepNext w:val="0"/>
      <w:keepLines w:val="0"/>
      <w:widowControl w:val="1"/>
      <w:contextualSpacing w:val="1"/>
    </w:pPr>
    <w:rPr>
      <w:rFonts w:cs="Palatino" w:hAnsi="Palatino" w:eastAsia="Palatino" w:ascii="Palatino"/>
      <w:sz w:val="60"/>
    </w:rPr>
  </w:style>
  <w:style w:styleId="Subtitle" w:type="paragraph">
    <w:name w:val="subtitle"/>
    <w:basedOn w:val="Normal"/>
    <w:next w:val="Normal"/>
    <w:pPr>
      <w:keepNext w:val="0"/>
      <w:keepLines w:val="0"/>
      <w:widowControl w:val="1"/>
      <w:spacing w:lineRule="auto" w:before="60"/>
      <w:contextualSpacing w:val="1"/>
    </w:pPr>
    <w:rPr>
      <w:rFonts w:cs="Arial" w:hAnsi="Arial" w:eastAsia="Arial" w:ascii="Arial"/>
      <w:sz w:val="28"/>
    </w:rPr>
  </w:style>
  <w:style w:styleId="DefaultTable" w:type="table">
    <w:basedOn w:val="TableNormal"/>
    <w:tblPr>
      <w:tblStyleRowBandSize w:val="1"/>
      <w:tblStyleColBandSize w:val="1"/>
    </w:tblPr>
    <w:tblStylePr w:type="band1Horz"/>
    <w:tblStylePr w:type="band1Vert"/>
    <w:tblStylePr w:type="band2Horz"/>
    <w:tblStylePr w:type="band2Vert"/>
    <w:tblStylePr w:type="firstCol"/>
    <w:tblStylePr w:type="firstRow"/>
    <w:tblStylePr w:type="lastCol"/>
    <w:tblStylePr w:type="lastRow"/>
    <w:tblStylePr w:type="neCell"/>
    <w:tblStylePr w:type="nwCell"/>
    <w:tblStylePr w:type="seCell"/>
    <w:tblStylePr w:type="swCell"/>
  </w:style>
</w:styles>
</file>

<file path=word/_rels/document.xml.rels><?xml version="1.0" encoding="UTF-8" standalone="yes"?>
<Relationships xmlns="http://schemas.openxmlformats.org/package/2006/relationships"><Relationship Target="fontTable.xml" Type="http://schemas.openxmlformats.org/officeDocument/2006/relationships/fontTable" Id="rId1"/><Relationship Target="footer1.xml" Type="http://schemas.openxmlformats.org/officeDocument/2006/relationships/footer" Id="rId2"/><Relationship Target="numbering.xml" Type="http://schemas.openxmlformats.org/officeDocument/2006/relationships/numbering" Id="rId3"/><Relationship Target="settings.xml" Type="http://schemas.openxmlformats.org/officeDocument/2006/relationships/settings" Id="rId4"/><Relationship Target="styles.xml" Type="http://schemas.openxmlformats.org/officeDocument/2006/relationships/styles" Id="rId5"/></Relationships>

</file>

<file path=docProps/app.xml><?xml version="1.0" encoding="utf-8"?>
<Properties xmlns="http://schemas.openxmlformats.org/officeDocument/2006/extended-properties" xmlns:vt="http://schemas.openxmlformats.org/officeDocument/2006/docPropsVTypes">
  <Application>Caracal</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caracal.docx</dc:title>
</cp:coreProperties>
</file>

<file path=docProps/custom.xml><?xml version="1.0" encoding="utf-8"?>
<Properties xmlns="http://schemas.openxmlformats.org/officeDocument/2006/custom-properties" xmlns:vt="http://schemas.openxmlformats.org/officeDocument/2006/docPropsVTypes"/>
</file>