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317. What issues matter most to people with multiple myeloma and how well are we measuring them? A systematic review of quality of life tools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Osborne, T. R., Ramsenthaler, C., Siegert, R. J., Edmonds, P. M., Schey, S. A., Higginson, I.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Treatment advances in multiple myeloma have increased expected survival from months to years for some patients. Alongside improved survival emerges a need to better understand and measure health-related quality of life (HRQOL), both in research and clinical settings. OBJECTIVES: (i) Identify HRQOL tools validated for use in myeloma; (ii) identify issues important to HRQOL from the point of view of patients with myeloma; (iii) describe the measurement properties of each HRQOL tool; (iv) evaluate the content validity of HRQOL tools in terms of their ability to capture all issues important to patients and (v) explore the suitability of each HRQOL tool for use in different settings. METHOD: Systematic literature review of six databases with no limits by date or language. RESULTS: Thirty-nine studies reported validation of 13 HRQOL instruments. Seven studies identified issues important to HRQOL from the patients' perspective. No instrument was comprehensive to all issues important to patients. The EORTC-QLQ-C30 and MY24 have undergone the most comprehensive psychometric validation. Most validation occurred in trial patients and not clinically representative groups. No studies evaluated clinical utility of tools alongside routine practice. CONCLUSION: The best existing HRQOL tools are designed predominantly for use in research. Reliable, valid and responsive tools exist for this purpose, but may miss issues important to patients. The design of HRQOL measures should be guided by intended utility, whether for research or clinical practice, and further validation of HRQOL tools in clinically representative groups is needed. Development and validation of HRQOL tools for clinical use may be of value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Eur.J Haematol.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p w:rsidP="00000000" w:rsidRDefault="00000000" w:rsidR="00000000" w:rsidRPr="00000000" w:rsidDel="00000000">
      <w:pPr>
        <w:pStyle w:val="Heading2"/>
        <w:contextualSpacing w:val="0"/>
      </w:pPr>
      <w:r w:rsidR="00000000" w:rsidRPr="00000000" w:rsidDel="00000000">
        <w:rPr>
          <w:rStyle w:val="Heading2"/>
          <w:rtl w:val="0"/>
        </w:rPr>
        <w:t xml:space="preserve">2275. What tests should be used to assess functional performance in youth and young adults following anterior cruciate ligament or meniscal injury? A systematic review of measurement properties for the OPTIKNEE consensus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Berg, B., Urhausen, A. P., Øiestad, B. E., Whittaker, J. L., Culvenor, A. G., Roos, E. M., Crossley, K. M., Juhl, C. B., Risberg, M.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10.1136/bjsports-2022-105510</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To critically appraise and summarise measurement properties of functional performance tests in individuals following anterior cruciate ligament (ACL) or meniscal injury. DESIGN: Systematic review. DATA SOURCES: Systematic searches were performed in Medline (Ovid), Embase (Ovid), CINAHL (EBSCO) and SPORTSDiscus (EBSCO) on 7 July 2021. ELIGIBILITY CRITERIA FOR SELECTING STUDIES: Studies evaluating at least one measurement property of a functional performance test including individuals following an ACL tear or meniscal injury with a mean injury age of ≤30 years. The COnsensus-based Standards for the selection of health Measurement INstruments Risk of Bias checklist was used to assess methodological quality. A modified Grading of Recommendations Assessment, Development and Evaluation assessed evidence quality. RESULTS: Thirty studies evaluating 26 functional performance tests following ACL injury were included. No studies were found in individuals with an isolated meniscal injury. Included studies evaluated reliability (n=5), measurement error (n=3), construct validity (n=26), structural validity (n=1) and responsiveness (n=1). The Single Leg Hop and Crossover Hop tests showed sufficient intrarater reliability (high and moderate quality evidence, respectively), construct validity (low-quality and moderate-quality evidence, respectively) and responsiveness (low-quality evidence). CONCLUSION: Frequently used functional performance tests for individuals with ACL or meniscal injury lack evidence supporting their measurement properties. The Single Leg Hop and Crossover Hop are currently the most promising tests following ACL injury. High-quality studies are required to facilitate stronger recommendations of performance-based outcomes following ACL or meniscal injury.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2341. What tools should be used to identify women in need of additional support in pregnancy?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Insua-Summerhays, B., Knowles Bevis, B., Barlow, P.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10.1080/02646838.2022.2103525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This study aimed to identify and inform recommendation of self-report and interview-based instruments that are feasible, reliable and valid to evaluate the quality of the maternal-fetal relationship (MFR). BACKGROUND: Several constructs predicting parent-infant interaction and later infant adjustment are used to assess mothers' thoughts and feelings towards their unborn baby, including reflective functioning, mind-mindedness, representation, and fetal attachment. As yet, there is no existing review comparing the quality and accessibility of instruments across each of these constructs. METHODS: A systematic literature review was undertaken to synthesise psychometric information on measures reporting on the MFR. Searches of six databases were conducted. English articles were selected based on inclusion and exclusion criteria. The QATSDD checklist was used to assess study quality. RESULTS:  Of 669 studies identified, 28 met inclusion criteria. Thirteen different instruments were identified for evaluation. Reported reliability and validity varied significantly across instruments, as well as availability for research and/or clinical use. CONCLUSION: Suggestions for research and clinical practice include further evaluation of the psychometric properties of tools, particularly for self-report measures of reflective functioning, use of interviews to scaffold reflexivity, and development of clinical policies and procedures to clarify care pathways for expectant mothers needing further support.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Reprod Infant Psychol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3088. Wheelchair outcome measurement instruments for children: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Curi, H. T., Ferretti, E. C., de Soárez, P.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10.1080/17483107.2025.2558215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This scoping review aimed to explore and map wheelchair outcome measurement instruments for children in the literature. MATERIALS AND METHODS: A scoping review was conducted following the Joanna Briggs Institute (JBI) methodology. The review focused on children (≤18 years) manual or motorised wheelchair users, and included primary sources of literature on wheelchair outcome measurement instruments. A search was conducted in nine electronic databases, including grey literature. Data on general characteristics, psychometric properties (validity, reliability, responsiveness) were extracted and analysed descriptively. RESULTS: A total of 27 studies and 33 instruments were included, mostly focused on manual wheelchair users (n=23). Performance-based outcomes instruments were the most common (n=15). Construct validity (n=19) and test-retest (n=19) were the most assessed psychometric property. Responsiveness (n=3) and intra-rater (n=3) were the least reported. The most frequently conducted statistical analyses were: minimal detectable difference (MDD) (n=12), standard error of measurement (SEM) (n = 12), intraclass correlation coefficient (ICC) (n=16) and Pearson correlation (n=9). The most common construct was propulsion perfomance in a manual wheelchair (n=6). CONCLUSION: Wheelchair outcome measurement instruments for children mainly assess manual wheelchairs, emphasising propulsion perfomance as the primary outcome. Responsiveness and intra-rater are underreported, highlighting a gap for future research. Standardised methodologies and detailed reporting, including sample size specifications, are essential for advancing research and clinical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 Assist Technol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2637. When the Patient-Reported Outcome Measure Probably Does Not Measure What You Think You Are Measuring: Quantifying Fear Avoidance Behaviours in people with Concussion. A COSMIN-Informed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Sherwood, L. J., Korakakis, V., Mosler, A. B., Fortington, L., Murphy, M.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10.2519/jospt.2023.11685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The validity of existing fear avoidance behaviour patient reported outcome measures (PROMs) for concussion is unknown. This study aims to (1) identify PROMs that assess fear avoidance behaviour in individuals with concussion and (2) assess the measurement properties of these PROMs. DESIGN: A systematic review of outcome measurement instruments using the Consensus Standards for the Selection of Health Measurement Instruments (COSMIN) checklist LITERATURE SEARCH: We performed a systematic search of seven databases. STUDY SELECTION CRITERIA: Studies were included if they assessed fear avoidance behaviour (e.g., kinesiophobia or cogniphobia) in participants with concussion, occurring in all settings (e.g., sport, falls, assaults). DATA SYNTHESIS: Methodological quality of the PROMs was assessed using the COSMIN checklist and the certainty of the evidence was assessed using the Grading of Recommendations Assessment, Development and Evaluation (GRADE) approach. RESULTS: We identified 40 studies assessing fear avoidance. Four studies (n=875 participants, representing three PROMs) were eligible for COSMIN assessment. Content validity for all PROMs was insufficient due to extreme risk of bias. The Fear Avoidance Short Form Scale demonstrated the greatest validity: moderate-certainty evidence for sufficient structural validity and internal consistency, and low-certainty evidence for measurement invariance. CONCLUSION: Current PROMs for measuring fear avoidance behaviours in people with concussion have insufficient content validity, and should be used with caution in research and clinical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Orthop Sports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993. Where Are We: A Systematic Evaluation of the Psychometric Properties of Pain Assessment Scales for Use in Chinese Children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Bai, J., Jiang, N.</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10.1016/j.pmn.2014.11.003</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Systematic pain assessment using reliable and valid pain scales is the foundation for optimal pain management in children. To evaluate the available scales for pain assessment in Chinese children, we systematically evaluated the psychometric properties of pain measurements used in Chinese children. We searched Chinese- and English-language databases from their inception to September 2013. Studies were eligible for inclusion if the psychometric properties of pain measures were examined in Chinese children (aged 0-18 years). Two bilingual reviewers independently evaluated the psychometric properties of the identified pain scales by a revised 11-item coding system. In all, 6 studies involving 775 participants were included in this review with six pain scales examined, including the Face, Legs, Activity, Cry, and Consolability (FLACC) Scale, COMFORT-Behavior Scale, Asian Version of Oucher Scale, Pain Observation Scale for Young Children (POCIS), Neonatal Facial Coding System (NFCS) and Pain Assessment Scale for Preterm Infants (PASPI). The FLACC, COMFORT-Behavior Scale, and PASPI had very good psychometric qualities when administered in Chinese children; the Asian Version of Oucher Scale and POCIS showed acceptable to good psychometric qualities; and the NFCS had unacceptable psychometric qualities. Further psychometric testing of these observational measures and self-report pain scales in particular are needed among Chinese children of various age groups and in different pain situations.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Pain Manag Nurs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2279. Where Are We on Proprioception Assessment Tests Among Poststroke Individuals? A Systematic Review of Psychometric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Jamal, K., Penisson, A., Rostagno, S., Duclos,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10.1097/npt.0000000000000405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AND PURPOSE: Proprioception is often impaired in poststroke individuals. This is a significant issue since altered proprioception is associated with poorer physical function outcomes poststroke. However, there is limited consensus on the best tools for assessing proprioception and support for their widespread use by clinicians. The objective is to appraise the psychometric properties of each test used to assess proprioception in poststroke individuals. METHODS: A systematic search was performed according to PRISMA guidelines using the databases MEDLINE, Cochrane Library, PEDro, DiTa, and BioMedicalCentral for articles published up to January 2021. RESULTS: Sixteen studies of low methodological quality were included. Sixteen different proprioception assessment tests were extracted. The proprioception portion of the Fugl-Meyer Assessment Scale was found to be the most valid and reliable tool for screening patients in clinical settings. Although no real gold standard exists, the technological devices demonstrated better responsiveness and measurement accuracy than clinical tests. Technological devices might be more appropriate for assessing proprioception recovery or better suited for research purposes. DISCUSSION AND CONCLUSIONS: This review revealed low-quality articles and a paucity of tests with good psychometric properties available to clinicians to properly screen and assess all subcomponents of proprioception. In perspective, technological devices, such as robotic orthoses or muscle vibration, may provide the best potential for assessing the different subcomponents of proprioception. Further studies should be conducted to develop and investigate such approaches.Video, Supplemental Digital Content 1, available at:http://links.lww.com/JNPT/A388.</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Neurol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413. Which are the best instruments for measuring disabilities in gait and gait-related activities in patients with rheumatic disorders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Swinkels, R. A. H. M., Oostendorp, R. A. B., Bouter,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Our first objective was to make an inventory of available instruments for the assessment of disabilities in gait and related activities in patients with rheumatic disorders. Our second at. In was to investigate which of these instruments have acceptable methodological quality with regard to reliability and validity Our third aim was to investigate the assumption that the evaluation of convergent construct validity results in stronger correlations when validated against a more similar construct.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Clinical and Experimental Rheumatology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302. Which Are the Most Frequently Used Outcome Instruments in Studies on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Naal, F. D., Impellizzeri, F. M., Rippstein, P.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number of studies reporting on outcomes after total ankle arthroplasty is continuously increasing. As the use of valid outcome measures represents the cornerstone for successful clinical research, we aimed to identify the most frequently used outcome instruments in ankle arthroplasty studies and to analyze the evidence to support their use in terms of different quality criteria. A systematic review of the literature identified 15 outcome instruments reported in 79 original studies. The most commonly used measures were the American Orthopaedic Foot and Ankle Society hindfoot score (n = 41), the Kofoed ankle score (n = 21), a visual analog scale assessing pain (n = 15), and the generic SF-36 (n = 6). Eight additional instruments were used only once or twice. The American Orthopaedic Foot and Ankle Society and Kofoed instruments include a clinical examination and score up to 100 points. Evidence to support their use in terms of validity, reliability, responsiveness, and interpretability is limited, raising the question whether their use is justified. Self-reported questionnaires related to ankle osteoarthritis or arthroplasty are rather disregarded in the current literature, and only the Foot Function Index is associated with evidence in terms of the above-mentioned quality criteria. Future research is warranted to improve the outcome assessment after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Orthop Relat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1917. Which Frailty Scales for Patients with Adult Spinal Deformity are Feasible and Adequate?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Kitamura, K., van Hooff, M., Jacobs, W., Watanabe, K., de Kleuver,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10.1016/j.spinee.2022.01.017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CONTEXT: Frailty as a concept is not yet fully understood, and is not the same as comorbidity. It is associated with an increased risk of adverse events and mortality after surgery, which makes its preoperative assessment significant. Despite its relevance, it still remains unclear which scales are appropriate for use in patients with spinal pathology. PURPOSE: To evaluate the feasibility and measurement properties of frailty scales for spine patients, specifically with adult spinal deformity (ASD), and to propose adequate scales for primary triage to prevent surgery in too frail patients and for preoperative assessment to modify patients' condition and surgical plans. STUDY DESIGN/SETTING: Systematic review METHODS: : Systematic search was performed between 2010 and 2021 including terms relating to spinal disorders, frailty scales, and methodological quality. Characteristics of the studies and frailty scales and data describing relation to treatment outcomes were extracted. The risk of bias was determined with the QAREL score. RESULTS: Of the 1993 references found, 88 original studies were included and 23 scales were identified. No prospective interventional study was found where the preoperative frailty assessment was implemented. Predictive value of scales for surgical outcomes varied, dependent on spinal disorders, type of surgeries, patients' age and frailty at baseline, and outcomes. Seventeen studies reported measurement properties of eight scales but these studies were not free of bias. In 30 ASD studies, ASD-Frailty Index (ASD-FI, n=14) and 11-item modified Frailty Index (mFI-11, n=11) were most frequently used. These scales were mainly studied in registry studies including young adult population, and carry a risk of sample bias and make their validity in elderly population unclear. ASD-FI covers multidisciplinary concepts of frailty with 40 items but its feasibility in clinical practice is questionable due to its length. The Risk Analysis Index (RAI), another multidisciplinary scale with 14 items, has been implemented for preoperative assessment in other surgical domains and was proven to be feasible and effective in interventional prospective studies. The FRAIL is a simple questionnaire with five items and its predictive value was confirmed in prospective cohort studies in which only elderly patients were included. CONCLUSIONS: No adequate scale was identified in terms of methodological quality and feasibility for daily practice. Careful attention should be paid when choosing an adequate scale, which depends on the setting of interest (eg triage or pre-operative work-up). We recommend to further study a simple and predictive scale such as FRAIL for primary triage and a comprehensive and feasible scale such as RAI for preoperative assessment for patients undergoing spine surgery, as their adequacy has been shown in other medical domains.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