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315. Validity, reliability, and feasibility of clinical staging scales in dementia: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Olde Rikkert, M. G., Tona, K. D., Janssen, L., Burns, A., Lobo, A., Robert, P., Sartorius, N., Stoppe, G., Waldemar,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New staging systems of dementia require adaptation of disease management programs and adequate staging instruments. Therefore, we systematically reviewed the literature on validity and reliability of clinically applicable, multidomain, and dementia staging instruments. A total of 23 articles describing 12 staging instruments were identified (N = 6109 participants, age 65-87). Reliability was studied in most (91%) of the articles and was judged moderate to good. Approximately 78% of the articles evaluated concurrent validity, which was good to very good, while discriminant validity was assessed in only 25%. The scales can be applied in +/-15 minutes. Clinical Dementia Rating (CDR), Global Deterioration scale (GDS), and Functional Assessment Staging (FAST) have been monitored on reliability and validity, and the CDR currently is the best-evidenced scale, also studied in international perspective, and is available in 14 languages. Taking into account the increasing differentiation of Alzheimer's disease in preclinical and predementia stages, there is an urgent need for global rating scales to be refined as well</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Alzheimers.Dis.Other Demen.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426. Validity, reliability and responsiveness of patient-reported outcome questionnaires when assessing hip and groin disability: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Thorborg, K., Roos, E. M., Bartels, E. M., Petersen, J., Holmich,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10.1136/bjsm.2009.060889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Novel treatment interventions are advancing rapidly in the management of hip and groin disability in the physically active young to middle-aged population. 
Objective 
To recommend the most suitable patientreported outcome (PRO) questionnaires for the assessment of hip and groin disability based on a systematic review of evidence of validity, reliability and responsiveness of these instruments.
Methods 
MEDLINE, EMBASE, CINAHL, Cochrane Central Register of Controlled Trials, PsycINFO, SportsDiscus and Web of Science were all searched up to January 2009. Two reviewers independently rated measurement properties of the PRO questionnaires in the included studies, according to a standardised criteria list.
Results 
The computerised search identifi ed 2737 publications. Forty-one publications investigating measurement properties of PRO questionnaires assessing hip or groin disability were included in the study. Twelve different questionnaires designed for patients with hip disability and one questionnaire for patients with groin disability were identifi ed.  Hip dysfunction and Osteoarthritis Outcome Score (HOOS) contains adequate measurement qualities to evaluate patients with hip osteoarthritis (OA) or total hip replacement (THR). Hip Outcome Score (HOS) is the best available questionnaire for evaluating hip arthroscopy, but the Inguinal Pain Questionnaire, the only identifi ed questionnaire evaluating groin disability, does not contain adequate measurement qualities. 
Conclusions 
HOOS is recommended for evaluating patients with hip OA undergoing non-surgical treatment and surgical interventions such as THR. HOS is recommended for evaluating patients undergoing hip arthroscopy. Current and new PRO questionnaires should also be evaluated in younger patients (age &lt;50) with hip and/or groin disability, including surgical and non-surgical patients.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British Journal of Sports Medicine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16</w:t>
      </w:r>
    </w:p>
    <w:p w:rsidP="00000000" w:rsidRDefault="00000000" w:rsidR="00000000" w:rsidRPr="00000000" w:rsidDel="00000000">
      <w:pPr>
        <w:pStyle w:val="Heading2"/>
        <w:contextualSpacing w:val="0"/>
      </w:pPr>
      <w:r w:rsidR="00000000" w:rsidRPr="00000000" w:rsidDel="00000000">
        <w:rPr>
          <w:rStyle w:val="Heading2"/>
          <w:rtl w:val="0"/>
        </w:rPr>
        <w:t xml:space="preserve">430. Validity studies of quality of life instruments for eating disorders: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Tirico, P. P., Stefano, S. C., Blay, S.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10.1097/NMD.0b013e3181fe7294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To conduct a systematic review of studies that evaluated quality of life (QOL) among individuals with eating disorders, to analyze the characteristics of specific QOL instruments for eating disorders. Bibliographic searches were conducted in 6 databases and manual searches in 2 journals, covering the period from January 1975 to June 2008. The search strategies provided a total of 29,537 references. Out of the 41 studies that met the inclusion criteria for this review, 5 reported on the validation process for 4 specific instruments for eating disorders. Among the 4 specific QOL instruments for eating disorders, 3 presented adequate development procedures and psychometric properties. However, further research is needed to prove the validity and applicability of these instruments. Additional validation studies are needed, especially in relation to patients who deny that they have a disorder.</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Nerv Ment Dis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2964. Values derived from patient reported outcomes in spine surgery: a systematic review of the minimal clinically important difference, substantial clinical benefit, and patient acceptable symptom state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Issa, T. Z., Lee, Y., Henry, T. W., Trenchfield, D., Schroeder, G. D., Vaccaro, A. R., Kepler, C.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10.1007/s00586-023-07896-x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While patient reported outcome measures (PROMs) define value in spine surgery, several values such as minimal clinically important difference (MCID), substantial clinical benefit (SCB), and patient acceptable symptom state (PASS) help guide the interpretation of PROMs and identify thresholds of clinical significance. Significant variation exists in reported values and their calculation, so the primary objective of this study was to systematically review the spine surgery literature for metrics of clinical significance derived from PROMs. METHODS: We conducted a query of PubMed/MEDLINE and Scopus databases from inception to January 1, 2023, for studies that derived quantitative metrics (e.g., SCB, MCID, PASS) from PROMs in the setting of spine surgery with minimum 1-year follow-up. Details regarding the specific PROMs were collected including which PROM was measured, whether anchor- or distribution-based methods were utilized, the specific calculations, and the recommended value for a given PROM based on all evaluated calculations. RESULTS: Thirty-seven studies of 21,780 patients were included. The most commonly evaluated PROM-derived value was the MCID (n = 28), followed by PASS (n = 6) and SCB (n = 4). Twenty-one studies only utilized anchor-based calculations, 15 utilized both anchor-based and distribution-based methods, and one only utilized distribution-based calculations. The most commonly evaluated legacy PROMs were the Oswestry Disability Index (ODI) (N = 11, MCID range 4-20) and visual analog scale back pain (N = 5, MCID range 0.5-4.6). All 10 studies that derived SCB or PASS utilized the receiver operating characteristic methods. Among the six studies deriving a PASS value, four only evaluated ODI, identifying PASS ranging from 5 to 22. CONCLUSION: While calculated measures of clinical significance such as MCID, PASS, and SCB exist, significant heterogeneity exists in the current literature. Current shortcomings include a wide variability of reported value thresholds across the literature, and limited applicability to more heterogenous patient populations than the targeted cohorts included in published investigations. Continued investigations that apply these methods to heterogenous, large-scale populations can help increase generalizability and validity of these measures. LEVEL OF EVIDENCE: III.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10</w:t>
      </w:r>
    </w:p>
    <w:p w:rsidP="00000000" w:rsidRDefault="00000000" w:rsidR="00000000" w:rsidRPr="00000000" w:rsidDel="00000000">
      <w:pPr>
        <w:pStyle w:val="Heading2"/>
        <w:contextualSpacing w:val="0"/>
      </w:pPr>
      <w:r w:rsidR="00000000" w:rsidRPr="00000000" w:rsidDel="00000000">
        <w:rPr>
          <w:rStyle w:val="Heading2"/>
          <w:rtl w:val="0"/>
        </w:rPr>
        <w:t xml:space="preserve">1178. Variability in the validity and reliability of outcome measures identified in a systematic review to assess treatment efficacy of cognitive enhancers for Alzheimer's Dementia</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Soobiah, C., Tadrous, M., Knowles, S., Blondal, E., Ashoor, H. M., Ghassemi, M., Khan, P. A., Ho, J., Tricco, A. C., Straus, S. 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10.1371/journal.pone.0215225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Selection of optimal outcome measures is a critical step in a systematic review; inclusion of uncommon or non-validated outcome measures can impact the uptake of systematic review findings. Our goals were to identify the validity and reliability of outcome measures used in primary studies to assess cognition, function, behaviour and global status; and, to use these data to select outcomes for a systematic review (SR) on treatment efficacy of cognitive enhancers for Alzheimer's Dementia (AD). METHODS: Articles fulfilling the eligibility criteria of the SR were included in a charting exercise to catalogue outcome measures reported. Outcome measures were then assessed for validity and reliability. Two independent reviewers abstracted data on outcome measures and validity and reliability reported for cognition, function, behaviour and global status. RESULTS: 129 studies were included in the charting exercise; 57 outcome measures were identified for cognition, 21 for function, 13 for behaviour and 10 for global status. A total of 35 (61%) cognition measures, 10 (48%) functional measures, 8 (61%) behavioural measures and four (40%) of global status measures were only used once in the literature. Validity and reliability information was found for 51% of cognition measures, 90% of function and global status measures and 100% of behavioural measures. CONCLUSIONS: While a large number of outcome measures were used in primary studies, many of these were used only once. Reporting of validity and reliability varied in AD studies of cognitive enhancers. Core outcome sets should be used when available; when they are not available researchers need to balance frequency of reported outcome measures, their respective validity and reliability, and preferences of knowledge users. SYSTEMATIC REVIEW REGISTRATION: CRD#42012001948.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PLoS One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3243. Variability of MCID, SCB, and PASS Thresholds in Studies Assessing Patient-Reported Outcomes After Rotator Cuff Repair: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Lee, A. C., Gupta, R., Kelly, J. D. th, Li, X., Parisien, R.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10.1177/03635465231202019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 increasing reliance on patient-reported outcomes has led to greater emphasis on minimal clinically important difference (MCID), substantial clinical benefit (SCB), and Patient Acceptable Symptom State (PASS) thresholds in assessing rotator cuff repairs. PURPOSE: To review the MCID, SCB, and PASS thresholds reported for patient-reported outcome measures (PROMs) after rotator cuff repair. STUDY DESIGN: Systematic review; Level of evidence, 4. METHODS: The PubMed, Embase, Ovid, Cochrane, and Google Scholar databases were queried for full-text journal articles in English published between January 1, 2000, and May 31, 2022. Studies with MCID, SCB, and PASS thresholds reported for patients with rotator cuff repair and a minimum of 12 months of follow-up were included. Reported MCID, SCB, and PASS thresholds and associated calculation methods were extracted. RESULTS: There were 41 unique studies (6331 shoulders) that met the inclusion criteria. Of these, 37 (90%) reported MCID; 16 (39%), PASS; and 11 (27%), SCB values. The most common PROMs were the American Shoulder and Elbow Surgeons score and the Constant-Murley score. In total, 71% (29/41) of these studies referenced values in the literature, usually studies of patients undergoing rotator cuff repair (21/29). Twelve studies calculated MCID, SCB, or PASS thresholds using anchor-based approaches, whereas 6 studies also calculated thresholds using distribution-based methods. The use of MCID, SCB, and PASS in the rotator cuff repair literature is increasing, with half of the included studies published within the final 17 months of the studied period. CONCLUSION: Significant variability was seen in the reporting of MCID, SCB, and PASS threshold values after rotator cuff repair. Researchers should prioritize studies that report clinical outcome thresholds calculated using anchor-based methods and should critically review both the anchor question and its response choices. Standardization of MCID, SCB, and PASS values and calculation methods will allow for a more reliable assessment of PROMs in rotator cuff repair moving forward.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9</w:t>
      </w:r>
    </w:p>
    <w:p w:rsidP="00000000" w:rsidRDefault="00000000" w:rsidR="00000000" w:rsidRPr="00000000" w:rsidDel="00000000">
      <w:pPr>
        <w:pStyle w:val="Heading2"/>
        <w:contextualSpacing w:val="0"/>
      </w:pPr>
      <w:r w:rsidR="00000000" w:rsidRPr="00000000" w:rsidDel="00000000">
        <w:rPr>
          <w:rStyle w:val="Heading2"/>
          <w:rtl w:val="0"/>
        </w:rPr>
        <w:t xml:space="preserve">2388. Velopharyngeal Inadequacy-Related Quality of Life Assessment: The Instrument Development and Application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Chen, N., Shi, B., Huang, H.</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10.3389/fsurg.2022.796941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For the patient-reported outcome (PRO) measures related to patients with velopharyngeal inadequacy (VPI), different quality of life (QOL) instruments have been developed. The present systematic review was designated to identify current VPI-related QOL instrument development, validation, and applicability. METHODS: Pubmed, Cochrane, Embase, Web of Science, and EBSCO databases were searched in January 2022. "Velopharyngeal" or "palatopharyngeal" and "quality of life" or "life quality" were searched in title, abstract, and keywords. This study followed Preferred Reporting Items for Systematic Review and Meta-analysis (PRISMA) guidelines. Two investigators independently reviewed abstracts and full texts of the identified literature. An established checklist was used to evaluate the measurement properties of each identified instrument. RESULTS: A total of 375 articles and 13 instruments were identified, which can be divided into nine types of families according to their development procedures. Developmental and measurement characteristics, evidence of conceptual model, content validity, reliability, construct validity, scoring, interpretation, respondent burden, and presentation for all instruments were shown. CONCLUSION: The patient's self-report assessment and parent-proxy assessment are both valuable. The conclusion that any QOL instrument is absolutely the best for patients with velopharyngeal inadequacy could not be drawn. Understanding the development and characteristics of different QOL instruments, including their reliability, validity, aim, target, language, and resource, should be important before application in clinic or research.</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1823. Virtual-Reality Performance-Based Assessment of Cognitive Functions in Adult Patients With Acquired Brain Injury: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Corti, C., Oprandi, M. C., Chevignard, M., Jansari, A., Oldrati, V., Ferrari, E., Martignoni, M., Romaniello, R., Strazzer, S., Bardoni,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10.1007/s11065-021-09498-0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Individuals with acquired brain injury (ABI) commonly present with impairments in cognitive abilities. As these competencies seem to be predictive of patients' abilities to reintegrate into the everyday settings, it is crucial to assess them properly. However, previous research has indicated that patients may perform relatively well on standard tests of cognitive functioning, but may nonetheless encounter significant difficulties in organizing and executing everyday tasks. In order to overcome this issue, virtual reality (VR) methods have been introduced in clinical practice with the aim of creating assessments that simulate real-world activities and thus, provide a clearer picture of patients' functioning in everyday settings. This review offers an overview of VR assessment tools described in the scientific literature between 2010 and 2019. Overall, 38 relevant records describing 31 different tools were found. Among these tools, 16 assessed executive functions and prospective memory, while the other 15 assessed visuo-spatial abilities. Although promising results have been reported, our analysis indicated that about half of the tools deliver tasks that differ from everyday activities, thus limiting the generalizability of patients' performance to the real-world. Moreover, a variety of methodological shortfalls related to study Internal and External Validity have been highlighted, which hamper the possibility of drawing definite recommendations on tool choice. These limitations suggest the importance of putting considerable efforts into the improvement or development of VR tools for patients with ABI for both research and clinical purposes, considering the great potential of this form of assessment.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Neuropsychol Rev</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3092. Viscoelastic testing in patients with very rare bleeding disorders of secondary hemostasis,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Bavinck, A. P., van Heerde, W., Schols, S.</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10.1016/j.thromres.2025.109449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Very rare bleeding disorders (VRBDs) are hereditary disorders which cause increased risk of bleeding. In general, VRBDs consists of rare platelet function disorders, very rare coagulation factor deficiencies (other than Factor (F) VIII or FIX) and disorders of the fibrinolytic pathway. The rarity of these disorders along with the scarcity of specialized hemostasis laboratories capable to perform the necessary diagnostic tests, results in significant challenges in diagnosing and monitoring patients with VRBD. Viscoelastic testing could potentially address these challenges. Aim This scoping review aims to assess the validity of viscoelastic assays for diagnosing, monitoring, and risk prediction in patients with VRBDs in the secondary hemostasis. METHODS: Relevant studies were identified on PubMed and categorized based on the clinical scenario addressed in the study. RESULTS: Viscoelastic assays can consistently detect severe factor deficiencies, but the sensitivity is lower in patients with mild factor deficiencies. In addition to the residual factor activity, sensitivity depends on the specific viscoelastic assay used and the potential underlying genetic abnormality. Only in FXI deficiency, multiple reports reveal correlations between assay outcomes and clinical phenotype, though clinical benefit of these findings is limited by the mild strength of these correlations. In many studies, viscoelastic assays were able to monitor the effects of treatment, but just a few found associations between the assay results and risk prediction. CONCLUSION: Severe coagulation factor deficiencies can reliably be ruled out based on viscoelastic assays. Low-quality evidence showed benefit of these assays in monitoring treatment and risk prediction in VRBDs.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Thromb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267. Vision-specific instruments for the assessment of health-related quality of life and visual functioning: a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Margolis, M. K., Coyne, K., Kennedy-Martin, T., Baker, T., Schein, O., Revicki, D.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Clinically objective measures such as visual acuity or visual field provide an assessment of a patient's visual status. However such measures may not reflect the degree of visual impairment the patient experiences in his or her daily activities. Visual impairment has been shown to have negative effects on health-related quality of life (HR-QOL) and a significant impact on daily functioning, including social activities. As such, there is a growing recognition of the importance of patient-reported outcomes of visual functioning. This review examines the development and psychometric properties of 22 vision-specific instruments assessing visual functioning and/or the impact of visual impairment on HR-QOL or daily activities. Issues relevant to assessing vision-specific subjective outcomes are reviewed, with specific application of the reviewed instruments. Three instruments, the Activities of Daily Vision Scale, National Eye Institute Visual Function Questionnaire, and Visual Function Index have been well validated and widely used, but others also show promise. To fully capture the benefits of a new ophthalmology treatment (or new treatment for eye disease) a valid and reliable visual instrument, in which the psychometric performance has been demonstrated in the particular ocular condition being treated, should be utilised.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Pharmacoeconomics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