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3466. Vision-Specific Tools for the Assessment of Health-Related Quality of Life (HR-QoL) in Children and Adolescents with Visual Impairment: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Magakwe, T. S. S., Hansraj, R., Xulu-Kasaba, Z. N.</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10.3390/ijerph21081009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Vision-related quality-of-life (QoL) measures offer a comprehensive evaluation of the impact of eye conditions and the effectiveness of treatment on important aspects of QoL. A substantial number of tools for assessing health-related quality of life (HR-QoL) in adults have been reviewed. However, despite the high prevalence of uncorrected refractive errors causing visual impairment (VI) in children, there is a notable lack of similar tools for this vulnerable population. This review aimed to systemically map evidence on the availability and use of vision-specific instruments for assessing HR-QoL in children and adolescents with VI. This review follows the Joanna Briggs Institute (JBI) guidelines (2020) and the framework by Arksey and O'Malley and Levac et al. (2010). We conducted systematic searches through databases PubMed, Science Direct, and Scopus and search platforms Web of Science and EBSCOhost to source reviews published in English from the date of their inception to December 2023. The findings are reported according to the Preferred Reporting Items for Systematic Reviews and Meta-Analyses extension for scoping reviews (PRISMA-ScR). We reviewed twenty tools, nine of which were developed for children in the United States and three of which were developed for children in developing countries; no tools specifically developed for children in Africa were found. In the reviewed papers, the tools were presented to children, parents, or proxies in an interview or questionnaire format. For most of the tools, reliability was assessed using internal consistency (n = 12) and test-retest reliability (n = 12). The most dominant measures of validity were construct (n = 16), content (n = 8), internal (n = 4), and criterion (n = 4). There appears to be a need for more tools developed for children in middle-low-income countries, especially for African children.</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Environ Res Public Health</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8</w:t>
      </w:r>
    </w:p>
    <w:p w:rsidP="00000000" w:rsidRDefault="00000000" w:rsidR="00000000" w:rsidRPr="00000000" w:rsidDel="00000000">
      <w:pPr>
        <w:pStyle w:val="Heading2"/>
        <w:contextualSpacing w:val="0"/>
      </w:pPr>
      <w:r w:rsidR="00000000" w:rsidRPr="00000000" w:rsidDel="00000000">
        <w:rPr>
          <w:rStyle w:val="Heading2"/>
          <w:rtl w:val="0"/>
        </w:rPr>
        <w:t xml:space="preserve">1116. Voice Outcome Measures for Adult Patients With Unilateral Vocal Fold Paralysis: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Walton, C., Carding, P., Conway, E., Flanagan, K., Blackshaw, H.</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10.1002/lary.27434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Unilateral vocal fold paralysis (UVFP) typically results in marked changes in voice quality and performance and has a significant impact on quality of life. Treatment approaches generally aim to restore glottal closure for phonation and improve vocal function. There are a wide range of voice outcome measures that are available to measure the treatment effect. Careful selection of voice outcome measures is required to ensure that they are adequate for purpose and are psychometrically sound to detect the treatment effect. This article aims to critically evaluate the literature for voice outcome measures that are used for patients with UVFP. STUDY DESIGN: Systematic review. METHODS: Nine databases were searched for UVFP treatment studies published since 2003 (n = 2,484 articles). These articles and their references were screened using inclusion/exclusion criteria, including population characteristics, treatment, voice outcomes, and study findings. Data from the included articles was extracted and appraised with respect to multidimensionality, timing, selection rationale, validity, reliability, and responsiveness to change of the voice outcome measures. RESULTS: A total of 29 studies met the inclusion criteria for the systematic review. These studies showed considerable variability in the rationale, selection, and application of voice outcome measures for reporting the treatment effect for patients with UVFP. CONCLUSION: There is currently a significant disparity in the selection and use of voice outcome measures for patients with UVFP. A set of principles around selection rationale, validity, reliability, and responsiveness to change is proposed to enhance the judicious selection of voice outcome measures for this patient group. Laryngoscope, 2018.</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Laryngoscope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703. Voice-Related Patient-Reported Outcome Measures: A Systematic Review of Instrument Development and Validation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Francis, D. O., Daniero, J. J., Hovis, K. L., Sathe, N., Jacobson, B., Penson, D. F., Feurer, I. D., McPheeters, M. L.</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10.1044/2016_jslhr-s-16-0022</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The purpose of this study was to perform a comprehensive systematic review of the literature on voice-related patient-reported outcome (PRO) measures in adults and to evaluate each instrument for the presence of important measurement properties. Method: MEDLINE, the Cumulative Index of Nursing and Allied Health Literature, and the Health and Psychosocial Instrument databases were searched using relevant vocabulary terms and key terms related to PRO measures and voice. Inclusion and exclusion criteria were developed in consultation with an expert panel. Three independent investigators assessed study methodology using criteria developed a priori. Measurement properties were examined and entered into evidence tables. Results: A total of 3,744 studies assessing voice-related constructs were identified. This list was narrowed to 32 PRO measures on the basis of predetermined inclusion and exclusion criteria. Questionnaire measurement properties varied widely. Important thematic deficiencies were apparent: (a) lack of patient involvement in the item development process, (b) lack of robust construct validity, and (c) lack of clear interpretability and scaling. Conclusions: PRO measures are a principal means of evaluating treatment effectiveness in voice-related conditions. Despite their prominence, available PRO measures have disparate methodological rigor. Care must be taken to understand the psychometric and measurement properties and the applicability of PRO measures before advocating for their use in clinical or research applications.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Speech Lang Hear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2077. Walking Ability Outcome Measures in Individuals with Spinal Cord Injury: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Sinovas-Alonso, I., Gil-Agudo, Á, Cano-de-la-Cuerda, R., Del-Ama, A.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10.3390/ijerph18189517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Walking function recovery in spinal cord injury (SCI) is tackled through several therapeutic approaches in which precise evaluation is essential. A systematic review was performed to provide an updated qualitative review of walking ability outcome measures in SCI and to analyze their psychometric properties. PubMed, Cochrane, and PEDro databases were consulted until 1 April 2020. Seventeen articles written in English were included. Five of them studied the walking index for SCI, four studied the 10 meter walk test, and two studied the six-minute walk test, the timed Up and go test, and the Berg balance scale. The rest of the articles studied the following metrics: gait profile score, spinal cord injury functional ambulation profile, five times sit-to-stand test, spinal cord injury functional ambulation inventory, spinal cord independence measure (indoors and outdoors mobility items), locomotor stages in spinal cord injury, community balance and mobility scale, and activity-based balance level evaluation scale. The choice of a single or a set of metrics should be determined by the clinician. Based on the results obtained in this review, a combination of outcome measures is proposed to assess walking ability. Future work is required to integrate a more realistic environment for walking assessment.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Environ Res Public Health</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18</w:t>
      </w:r>
    </w:p>
    <w:p w:rsidP="00000000" w:rsidRDefault="00000000" w:rsidR="00000000" w:rsidRPr="00000000" w:rsidDel="00000000">
      <w:pPr>
        <w:pStyle w:val="Heading2"/>
        <w:contextualSpacing w:val="0"/>
      </w:pPr>
      <w:r w:rsidR="00000000" w:rsidRPr="00000000" w:rsidDel="00000000">
        <w:rPr>
          <w:rStyle w:val="Heading2"/>
          <w:rtl w:val="0"/>
        </w:rPr>
        <w:t xml:space="preserve">646. Walking measures to evaluate assistive technology for foot drop in multiple sclerosis: A systematic review of psychometric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Andreopoulou, G., Mercer, T. H., van der Linden, M. L.</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10.1016/j.gaitpost.2017.12.021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Foot drop in people with multiple sclerosis (pwMS) often managed with assistive technologies, such as functional electrical stimulation and ankle foot orthoses. No evidence synthesis exists for the psychometric properties of outcomes used to evaluate the efficacy of these interventions. OBJECTIVE: This systematic review aimed to identify the outcome measures reported to assess the benefits of assistive technology for pwMS and then synthesize the psychometric evidence in pwMS for a subset of these measures. METHODS: Two searches in eight databases were conducted up to May 2017. Methodological quality was rated using the COSMIN guidelines. Overall level of evidence was scored according to the Cochrane criteria. RESULTS: The first search identified 27 measures, with the 10m walk test, gait kinematics and Physiological Cost Index (PCI) most frequently used. The second search resulted in 41 studies evaluating 10 measures related to walking performance. Strong levels of evidence were found for the internal consistency and test-retest reliability of the Multiple Sclerosis Walking Scale-12 and for the construct validity for Timed 25 Foot Walk. No psychometric studies were identified for gait kinematics and PCI in pwMS. There was a lack of evidence for measurement error and responsiveness. CONCLUSION: Although a strong level of evidence exists for some measures included in this review, there was an absence of psychometric studies on commonly used measures such as gait kinematics. Future psychometric studies should evaluate a wider range of walking related measures used to assess the efficacy of interventions to treat foot drop in pwMS.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Gait Posture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2858. Walking test outcomes in adults with genetic neuromuscular diseases: a systematic literature review of their measurement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Hadouiri, N., Fournel, I., Thauvin-Robinet, C., Jacquin-Piques, A., Ornetti, P., Gueugnon,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10.23736/s1973-9087.24.08095-x</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Neuromuscular diseases (NMDs) include a large group of heterogeneous diseases. NMDs frequently involve gait disorders, which affect quality of life. Several walking tests and tools have been described in the literature, but there is no consensus regarding the use of walking tests and tools in NMDs or of their measurement properties for walking outcomes. The aim of this review is to present an overview of walking tests, including their measurement properties when used in adults with inherited or genetic NMDs. The aim is to help clinicians and researchers choose the most appropriate test for their objective. EVIDENCE ACQUISITION: A systematic review was conducted after consulting MEDLINE (via PubMed), EMBASE, Science direct, Google Scholar and Cochrane Central Register of Controlled Trials databases for published studies in which walking outcome measurement properties were assessed. The validity, reliability, measurement error and responsiveness properties were evaluated in terms of statistical methods and methodological design qualities using the COnsensus-based Standards for the selection of health Measurement Instruments (COSMIN) guidelines. EVIDENCE SYNTHESIS: We included 46 studies in NMDs. These studies included 15 different walking tests and a wide variety of walking outcomes, assessed with six types of walking tools. Overall, the 6MWT was the most studied test in terms of measurement properties. The methodological design and statistical methods of most studies evaluating construct validity, reliability and measurement error were "very good." The majority of outcome measurements were valid and reliable. However, studies on responsiveness as minimal important difference or minimal important change were lacking or were found to have inadequate methodological and statistical methods according to the COSMIN guidelines. CONCLUSIONS: Most walking outcomes were found to be valid and reliable in NMDs. However, in view of the growing number of clinical trials, further studies are needed to clarify additional measurement properties.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Phys Rehabil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42. Walking tests for stroke survivors: a systematic review of their measurement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van Bloemendaal, M., van de Water, A. T. M., van de Port, I. G. L.</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10.3109/09638288.2012.680649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provide an overview of walking tests including their measurement properties that have been used in stroke survivors. Method: Electronic databases were searched using specific search strategies. Retrieved studies were selected by using specified inclusion criteria. A modified consensus-based standards for the selection of health status measurement instruments (COSMIN) checklist was applied for methodological quality assessment of the included studies. A quality assessment for statistical outcomes was used to assess measurement properties of the walking tests. Tests that were included were categorized according to the framework of the international classification of functioning, disability and health (ICF). Results: Thirty-two studies, evaluating 23 walking tests, were included. The tests assessed walking using the outcome measures of walking speed, walking distance, functional ambulation and walking on different surfaces. The methodological design and statistical methods of most studies evaluating reliability and criterion validity were sufficient, and found the outcome measures to be reliable and valid. However, data on measurement error, minimal important difference and minimal important change were lacking and responsiveness was correctly evaluated in one study only. Conclusions: Many walking tests have been clinimetrically evaluated in stroke survivors. Most walking tests were found to be reliable and valid.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Disability and Rehabilitation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26</w:t>
      </w:r>
    </w:p>
    <w:p w:rsidP="00000000" w:rsidRDefault="00000000" w:rsidR="00000000" w:rsidRPr="00000000" w:rsidDel="00000000">
      <w:pPr>
        <w:pStyle w:val="Heading2"/>
        <w:contextualSpacing w:val="0"/>
      </w:pPr>
      <w:r w:rsidR="00000000" w:rsidRPr="00000000" w:rsidDel="00000000">
        <w:rPr>
          <w:rStyle w:val="Heading2"/>
          <w:rtl w:val="0"/>
        </w:rPr>
        <w:t xml:space="preserve">3056. Wearable sensors for clinical applications in epilepsy, Parkinson's disease, and stroke: a mixed-methods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Johansson, D., Malmgren, K., Alt Murphy,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10.1007/s00415-018-8786-y</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Wearable technology is increasingly used to monitor neurological disorders. The purpose of this systematic review was to synthesize knowledge from quantitative and qualitative clinical researches using wearable sensors in epilepsy, Parkinson's disease (PD), and stroke. METHODS: A systematic literature search was conducted in PubMed and Scopus spanning from 1995 to January 2017. A synthesis of the main findings, reported adherence to wearables and missing data from quantitative studies, is provided. Clinimetric properties of measures derived from wearables in laboratory, free activities in hospital, and free-living environment were also evaluated. Qualitative thematic synthesis was conducted to explore user experiences and acceptance of wearables. RESULTS: In total, 56 studies (50 reporting quantitative and 6 reporting qualitative data) were included for data extraction and synthesis. Among studies reporting quantitative data, 5 were in epilepsy, 21 PD, and 24 studies in stroke. In epilepsy, wearables are used to detect and differentiate seizures in hospital settings. In PD, the focus is on quantification of cardinal motor symptoms and medication-evoked adverse symptoms in both laboratory and free-living environment. In stroke upper extremity activity, walking and physical activity have been studied in laboratory and during free activities. Three analytic themes emerged from thematic synthesis of studies reporting qualitative data: acceptable integration in daily life, lack of confidence in technology, and the need to consider individualization. CONCLUSIONS: Wearables may provide information of clinical features of interest in epilepsy, PD and stroke, but knowledge regarding the clinical utility for supporting clinical decision making remains to be established.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Neurol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8</w:t>
      </w:r>
    </w:p>
    <w:p w:rsidP="00000000" w:rsidRDefault="00000000" w:rsidR="00000000" w:rsidRPr="00000000" w:rsidDel="00000000">
      <w:pPr>
        <w:pStyle w:val="Heading2"/>
        <w:contextualSpacing w:val="0"/>
      </w:pPr>
      <w:r w:rsidR="00000000" w:rsidRPr="00000000" w:rsidDel="00000000">
        <w:rPr>
          <w:rStyle w:val="Heading2"/>
          <w:rtl w:val="0"/>
        </w:rPr>
        <w:t xml:space="preserve">19. Wearing-off scales in Parkinson's disease: critique and recommendations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Antonini, A., Martinez-Martin, P., Chaudhuri, R. K., Merello, M., Hauser, R., Katzenschlager, R., Odin, P., Stacy, M., Stocchi, F., Poewe, W., Rascol, O., Sampaio, C., Schrag, A., Stebbins, G. T., Goetz, C. G.</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10.1002/mds.23875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Wearing-off occurs in the majority of patients with Parkinson's disease after a few years of dopaminergic therapy. Because a variety of scales have been used to estimate wearing-off, the Movement Disorder Society commissioned a task force to assess their clinimetric properties. A systematic review was conducted to identify wearing-off scales that have either been validated or used in Parkinson's patients. A scale was designated "Recommended" if it had been used in clinical studies beyond the group that developed it, if it had been specifically used in Parkinson's disease reports, and if clinimetric studies had established that it is valid, reliable, and sensitive. "Suggested" scales met 2 of the above criteria, and those meeting 1 were "Listed." We identified 3 diagnostic and 4 severity rating scales for wearing-off quantification. Two questionnaires met the criteria to be Recommended for diagnostic screening (questionnaires for 19 and 9 items), and 1 was Suggested (questionnaire for 32 items). Only the patient diaries were Recommended to assess wearing-off severity, with the caveat of relatively limited knowledge of validity. Among the other severity assessment tools, the Unified Parkinson Disease Rating Scale version 3 and the version revised from the Movement Disorders Society were classified as Suggested, whereas the Treatment Response Scale was Listed.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Mov Disord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12</w:t>
      </w:r>
    </w:p>
    <w:p w:rsidP="00000000" w:rsidRDefault="00000000" w:rsidR="00000000" w:rsidRPr="00000000" w:rsidDel="00000000">
      <w:pPr>
        <w:pStyle w:val="Heading2"/>
        <w:contextualSpacing w:val="0"/>
      </w:pPr>
      <w:r w:rsidR="00000000" w:rsidRPr="00000000" w:rsidDel="00000000">
        <w:rPr>
          <w:rStyle w:val="Heading2"/>
          <w:rtl w:val="0"/>
        </w:rPr>
        <w:t xml:space="preserve">140. Weighing up the evidence-a systematic review of measures used for the sensation of breathlessness in obesity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Gerlach, Y., Williams, M. T., Coates, A.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10.1038/ijo.2012.49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Breathlessness on exertion is common in people with obesity. Assessments of breathlessness may include sensation (intensity, sensory quality or unpleasantness) and/or the behavioral/emotional consequences of the sensation (respiratory-related functional impairment, disability or quality of life). This systematic review of primary studies published since 2005 evaluated how has the sensation of breathlessness been assessed in adults with increased adiposity. A total of 41 articles were retained from the systematic search strategy resulting in 20 instruments. The Modified Borg Scale (perceived exertion-intensity), the Medical Research Council (MRC) Scale and Baseline Dyspnea Index (BDI; both assess respiratory-related functional impairment) were, respectively, the most frequently reported instruments. Few instruments had been tested for reliability and validity in people with increased adiposity. Visual Analog Scale, Modified Borg Scale, descriptors of sensory quality, MRC and BDI can be recommended as instruments based on their psychometric properties (reliability (correlations &gt;0.8)and concurrent validity (correlation with severity of airways obstruction and walking distance)). A greater number of instruments were identified that assessed the consequences of the breathlessness rather than breathlessness as a sensation. If sensation drives behavior, comprehensive data on the sensation of breathlessness might assist in understanding the behavioral consequences of interventions. International Journal of Obesity (2013) 37, 341-349; doi:10.1038/ijo.2012.49; published online 24 April 2012</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International Journal of Obesity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