
<file path=[Content_Types].xml><?xml version="1.0" encoding="utf-8"?>
<Types xmlns="http://schemas.openxmlformats.org/package/2006/content-types">
  <Default Extension="gif" ContentType="image/gif"/>
  <Default Extension="jpeg" ContentType="image/jpeg"/>
  <Default Extension="jp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Types>
</file>

<file path=_rels/.rels><?xml version="1.0" encoding="UTF-8" standalone="yes"?>
<Relationships xmlns="http://schemas.openxmlformats.org/package/2006/relationships"><Relationship Target="docProps/app.xml" Type="http://schemas.openxmlformats.org/officeDocument/2006/relationships/extended-properties" Id="rId1"/><Relationship Target="docProps/core.xml" Type="http://schemas.openxmlformats.org/package/2006/relationships/metadata/core-properties" Id="rId2"/><Relationship Target="docProps/custom.xml" Type="http://schemas.openxmlformats.org/officeDocument/2006/relationships/custom-properties" Id="rId3"/><Relationship Target="word/document.xml" Type="http://schemas.openxmlformats.org/officeDocument/2006/relationships/officeDocument" Id="rId4"/></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background w:color="FFFFFF"/>
  <w:body>
    <w:p w:rsidP="00000000" w:rsidRDefault="00000000" w:rsidR="00000000" w:rsidRPr="00000000" w:rsidDel="00000000">
      <w:pPr>
        <w:pStyle w:val="Heading1"/>
        <w:contextualSpacing w:val="0"/>
      </w:pPr>
      <w:r w:rsidR="00000000" w:rsidRPr="00000000" w:rsidDel="00000000">
        <w:rPr>
          <w:rStyle w:val="Heading1"/>
          <w:rtl w:val="0"/>
        </w:rPr>
        <w:t xml:space="preserve">Search results</w:t>
      </w:r>
    </w:p>
    <w:p w:rsidP="00000000" w:rsidRDefault="00000000" w:rsidR="00000000" w:rsidRPr="00000000" w:rsidDel="00000000">
      <w:pPr>
        <w:pStyle w:val="Heading2"/>
        <w:contextualSpacing w:val="0"/>
      </w:pPr>
      <w:r w:rsidR="00000000" w:rsidRPr="00000000" w:rsidDel="00000000">
        <w:rPr>
          <w:rStyle w:val="Heading2"/>
          <w:rtl w:val="0"/>
        </w:rPr>
        <w:t xml:space="preserve">957. Well-being measurement and the WHO health policy Health 2010: systematic review of measurement scales</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Lindert, J, Bain, Pa, Kubzansky, LD, Stein, C</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BACKGROUND: Subjective well-being (SWB) contributes to health and mental health. It is a major objective of the new World Health Organization health policy framework, 'Health 2020'. Various approaches to defining and measuring well-being exist. We aimed to identify, map and analyse the contents of self-reported well-being measurement scales for use with individuals more than 15 years of age to help researchers and politicians choose appropriate measurement tools. METHODS: We conducted a systematic literature search in PubMed for studies published between 2007 and 2012, with additional hand-searching, to identify empirical studies that investigated well-being using a measurement scale. For each eligible study, we identified the measurement tool and reviewed its components, number of items, administration time, validity, reliability, responsiveness and sensitivity. RESULTS: The literature review identified 60 unique measurement scales. Measurement scales were either multidimensional (n = 33) or unidimensional (n = 14) and assessed multiple domains. The most frequently encountered domains were affects (39 scales), social relations (17 scales), life satisfaction (13 scales), physical health (13 scales), meaning/achievement (9 scales) and spirituality (6 scales). The scales included between 1 and 100 items; the administration time varied from 1 to 15 min. CONCLUSIONS: Well-being is a higher order construct. Measures seldom reported testing for gender or cultural sensitivity. The content and format of scales varied considerably. Effective monitoring and comparison of SWB over time and across geographic regions will require further work to refine definitions of SWB. We recommend concurrent evaluation of at least three self-reported SWB measurement scales, including evaluation for gender or cultural sensitivity</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Eur. J. Public Health</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380. What are the best outcome measurements for atopic eczema?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Schmitt, J., Langan, S., Williams, H. C.</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BACKGROUND: Valid and reliable outcome measurements are a prerequisite for evidence-based practice. The comparative validity and reliability of outcome measurements for assessing atopic eczema (AE) severity is unclear. OBJECTIVE: We sought to assess the validity, reliability, sensitivity to change, and ease of use of outcome measurements for AE. We also sought to give recommendations on which outcomes to use in clinical research and for clinical monitoring. METHODS: We performed a systematic review and survey of clinical experts and patients. RESULTS: Twenty published outcome measurements were identified. There is evidence of adequate construct validity for 3 measurements (Severity Scoring of Atopic Dermatitis index [SCORAD], Eczema Area and Severity Index [EASI], and Three Item Severity Score), adequate internal consistency of 1 scale (Patient-oriented Eczema Measure [POEM]), adequate interobserver reliability of 5 measurements (Basic Clinical Scoring System; Nottingham Eczema Severity Score; Objective Severity Assessment of Atopic Dermatitis; Six Area, Six Sign Atopic Dermatitis severity score; and SCORAD), adequate test-retest reliability of 1 scale (POEM), and adequate sensitivity to change of 3 measurements (EASI, SCORAD, and Investigators' Global Atopic Dermatitis Assessment). Most outcome measurements have adequate content validity, as assessed by patients and experts. Data on the time to perform the assessment was identified for 8 outcome measurements. Only SCORAD, EASI, and POEM have been tested sufficiently and performed adequately. CONCLUSION: There are too many published outcome measures for AE. Most have not been tested properly or perform adequately when tested, and their continued use hampers scientific communication. CLINICAL IMPLICATIONS: Only SCORAD, EASI, and POEM currently perform adequately. These scales should be used in future studies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J Allergy Clin.Immunol.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6</w:t>
      </w:r>
    </w:p>
    <w:p w:rsidP="00000000" w:rsidRDefault="00000000" w:rsidR="00000000" w:rsidRPr="00000000" w:rsidDel="00000000">
      <w:pPr>
        <w:pStyle w:val="Heading2"/>
        <w:contextualSpacing w:val="0"/>
      </w:pPr>
      <w:r w:rsidR="00000000" w:rsidRPr="00000000" w:rsidDel="00000000">
        <w:rPr>
          <w:rStyle w:val="Heading2"/>
          <w:rtl w:val="0"/>
        </w:rPr>
        <w:t xml:space="preserve">348. What are the best outcome measures for assessing plaque psoriasis severity? A systematic review of the literature</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Puzenat, E., Bronsard, V., Prey, S., Gourraud, P. A., Aractingi, S., Bagot, M., Cribier, B., Joly, P., Jullien, D., Le, Maitre M., Paul, C., Richard-Lallemand, M. A., Ortonne, J. P., Aubin, F.</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BACKGROUND: A wide variety of scoring systems have been proposed to assess severity of psoriasis. Given its importance as a health issue both for patients and health care systems, it is critically important to evaluate the validity and reliability of existing outcome measures. OBJECTIVE: The objective of this systematic review was to assess the extent of validation including the validity, reliability, sensitivity to change and ease of use of available outcome measures for psoriasis. MATERIALS AND METHODS: We conducted a systematic review of all clinical studies (prospective and retrospective) investigating the severity of psoriasis patients and published between January 1980 and June 2009. The following methodological validation and quality criteria were recorded systematically: construct validity, content validity and internal consistency, intra-observer variation and inter-observer variation, sensitivity to change and acceptability/ease of use assessed as time required to perform measurement. RESULTS: Based on methodological validation and quality criteria, six clinical severity scores were selected and analysed (PASI, BSA, PGA, LS-PGA, SPI and SAPASI scores). We did not find substantial evidence of construct validity for any of the psoriasis clinical severity scores. Content validity was studied by considering the PASI score as gold standard. The relative content validity was good for the LS-PGA, PGA, and SPI scores, which correlated strongly with the PASI score. The SAPASI and PASI scores showed moderate correlation. Internal consistency was good for the PASI and LS-PGA scores. The PASI, BSA, PGA and LS-PGA scores displayed limited intra-observer variation. The inter-observer variation was low for LS-PGA (ICC &lt; 0.5) and SAPASI, moderate for PASI, SPI and PGA and high for BSA (ICC &gt; 0.8). The PASI score and the SAPASI displayed moderate sensitivity to change. DISCUSSION: Based on this systematic review, it appears that none of the severity scores used for psoriasis meets all of the validation criteria required for an ideal score. However, we can conclude that the PASI score is the most extensively studied psoriasis clinical severity score and the most thoroughly validated according to methodological validation criteria. Despite certain limitations, use of the PASI score can be recommended for scientific evaluation of the clinical severity of psoriasis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J Eur.Acad.Dermatol.Venereol.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2542. What Are the Dry Eye Questionnaires Available in the Scientific Literature Used for? A Scoping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Sánchez-Brau, M., Seguí-Crespo, M., Cantó-Sancho, N., Tauste, A., Ramada, J. M.</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10.1016/j.ajo.2022.10.019</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PURPOSE: Dry eye disease (DED) is a frequent chronic ophthalmic condition. Its diagnosis includes tests and patient reported outcomes (PRO) questionnaires. Although many PRO dry eye questionnaires (PRO-DEQs) are available, they differ greatly from each other and not all have been validated. The purpose of this study was to retrieve the PRO-DEQs present in the scientific literature by performing a descriptive analysis of them and identifying those with known validity and reliability characteristics and to perform a descriptive analysis of the geographic area, year of publication, and characteristics of the target population of the clinical studies that have used validated PRO-DEQs. DESIGN: Scoping review of the literature. METHODS: Searches were conducted in PubMed to retrieve PRO-DEQs published up to July 2018 and written in English, French, Italian or Spanish. RESULTS: One thousand six hundred two records were identified and 973 were included in the final analysis. Of these, 56 provided information on the design and validation of PRO-DEQs and 49 PRO-DEQs were identified. Twenty-two PRO-DEQs were validated (17 original and 5 modified) and 27 had no associated design, validity, and reliability studies. Most of the validated PRO-DEQs were designed in English, the number of items varies from 1 to 57, the dimensions are generally not specified, and they are self-administered. The greatest use of validated PRO-DEQs in clinical studies has been in Asia since 2010, with the Ocular Surface Disease Index being the most used. These questionnaires have been used mostly in adults, retired professionals, and people with visual diseases to diagnose DED. CONCLUSIONS: This study aims to encourage the use of validated PRO-DEQs to guarantee the quality of the results obtained and the comparability and replicability among studies.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Am J Ophthalmol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609. What clinimetric evidence exists for using hip-specific patient-reported outcome measures in pediatric hip impingement?</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d'Entremont, Agnes G., Cooper, Anthony P., Johari, Ashok, Mulpuri, Kishore</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BACKGROUND: Patient-reported outcomes (PROs) are an increasingly popular research tool used to evaluate the outcomes of surgical intervention. If applied appropriately, they can be useful both for disease monitoring and as a method of assessing the efficacy of treatment. Many disorders can lead to impingement in children and adolescents, but it is not clear if any PROs have been validated to evaluate outcomes in these populations. QUESTIONS/PURPOSES: We performed a systematic review of the literature to answer the following research questions: (1) Which hip-specific PROs are used in pediatric populations with impingement? (2) What clinimetric evidence exists for the use of these specific PROs in this population? METHODS: We performed two systematic searches of three databases (Medline, EMBASE, and Ovid All EBM Reviews). The first search aimed to identify specific PROs that have been applied to pediatric impingement populations. The second search aimed to find clinimetric evaluations of the PROs from the first search in this population. RESULTS: We found six hip-specific PROs applied in pediatric impingement: Harris Hip Score, modified Harris Hip Score, Iowa Hip Score, Merle d'Aubigne Hip Score, Hip Outcome Score, and Non-arthritic Hip Score. However, we found no papers validating any of these PROs in this population. Furthermore, we found no papers validating any of these PROs in any pediatric population. CONCLUSIONS: A number of adult PROs have been applied in pediatric impingement disorders without evidence of validation in any pediatric population. Further work to develop and validate a hip-specific pediatric PRO is required</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Clin. Orthop. Relat Res</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4</w:t>
      </w:r>
    </w:p>
    <w:p w:rsidP="00000000" w:rsidRDefault="00000000" w:rsidR="00000000" w:rsidRPr="00000000" w:rsidDel="00000000">
      <w:pPr>
        <w:pStyle w:val="Heading2"/>
        <w:contextualSpacing w:val="0"/>
      </w:pPr>
      <w:r w:rsidR="00000000" w:rsidRPr="00000000" w:rsidDel="00000000">
        <w:rPr>
          <w:rStyle w:val="Heading2"/>
          <w:rtl w:val="0"/>
        </w:rPr>
        <w:t xml:space="preserve">1415. What Is a "Validated Questionnaire"? A Critical Review of Erectile Function Assessment</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Yafi, F. A., Huynh, L. M., Ahlering, T., Rosen, R.</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10.1016/j.jsxm.2020.02.005</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BACKGROUND: In recent years, the assessment of erectile dysfunction (ED) has experienced a paradigm shift from objective, quantitative methods to subjective, qualitative patient-reported outcomes. Facilitated by this shift is the ongoing debate on questionnaire selection and need for standardization, particularly among sexual medicine specialists. AIM: To review current literature on assessment of erectile function via patient-reported outcomes and discuss the context, advantages, and limitations of currently available questionnaires. METHODS: A thorough literature search of erectile function questionnaires developed from 1990 through 2019 was carried out using 3 methods: a search of the MedLine databases; hand-search of peer-reviewed urologic, sexual medicine, and health policy journals; and expert review. The following keywords were used: [assessment of], [inventory], [questionnaire], or [validated measure]; in combination with: [sexual function] or [erectile function]. Measures were stratified into one of the following 3 groups: screening, outcome, or disease-specific. 3 screening measures (International Index of Erectile Function, the Male Sexual Health Questionnaire, and Brief Male Sexual Inventory); 5 outcome measures (Sexual Health Inventory for Men, Erection Hardness Score, Erectile Dysfunction Inventory for Treatment and Satisfaction, and Treatment Satisfaction Scale); and 3 categories of disease-specific measures (cancer, Peyronie's disease, and spinal cord injury) were included. OUTCOMES: Strengths, limitations, and valid uses of each erectile function questionnaire. RESULTS: There currently exists a wide variety of screening, outcome, and disease-specific measures for ED diagnosis, assessment, and treatment. Rigor of psychometric validation varies greatly across studies. However, depending on purpose of use, all abovementioned questionnaires have merit for use in clinical practice, are nonredundant, and can complement and supplement one another. CLINICAL IMPLICATIONS: Before choosing a specific measure for ED diagnosis, assessment, or treatment, there must be careful consideration of the questionnaire's psychometric properties, context of validation, and its possible limitations. STRENGTHS &amp; LIMITATIONS: The patient reported outcome measures highlighted in this article complement and supplement one another, as each emphasizes a related yet distinct central theme. During selection for use in clinical practice and research studies, special attention needs to be paid to the context, strengths, and weaknesses of each measure. CONCLUSION: When used conscientiously, patient-reported questionnaires can significantly optimize patient management. Yafi FA, Huynh LM, Ahlering T, et al. What Is a "Validated Questionnaire"? A Critical Review of Erectile Function Assessment. J Sex Med 2020;17:849-860.</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J Sex Med</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5</w:t>
      </w:r>
    </w:p>
    <w:p w:rsidP="00000000" w:rsidRDefault="00000000" w:rsidR="00000000" w:rsidRPr="00000000" w:rsidDel="00000000">
      <w:pPr>
        <w:pStyle w:val="Heading2"/>
        <w:contextualSpacing w:val="0"/>
      </w:pPr>
      <w:r w:rsidR="00000000" w:rsidRPr="00000000" w:rsidDel="00000000">
        <w:rPr>
          <w:rStyle w:val="Heading2"/>
          <w:rtl w:val="0"/>
        </w:rPr>
        <w:t xml:space="preserve">2442. What is the optimal tool for measuring abortion stigma?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Ratcliffe, S. E., Smylie, C. S., Pinkus, R. T., Dar-Nimrod, I., Juraskova, I., Dhillon, H. M.</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10.1080/13625187.2023.2177506</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PURPOSE: Abortion stigma is a barrier to accessing and delivering comprehensive, sustainable healthcare. This study aimed to systematically identify measures of abortion stigma, and assess their psychometric properties and uses. MATERIALS AND METHODS: The systematic review was preregistered with PROSPERO (ID#127339) and adhered to Preferred Reporting Items for Systematic Reviews and Meta-Analyses guidelines. Eight databases were screened for articles measuring abortion stigma. Data were extracted by four researchers and checked for accuracy by two reviewers. Psychometric properties were assessed with COSMIN guidelines. RESULTS: Of 102 articles reviewed, 21 reported original measures of abortion stigma. Instruments assessed individual and community level stigma for people who have had an abortion (n = 8), healthcare professionals (n = 4), and the public (n = 9), and predominantly originated from the United States (U.S.). Measures varied in structure, use, and comprehensiveness of psychometric properties. On psychometric properties, the Individual Level Abortion Stigma scale and Abortion Provider Stigma Scale - Revised performed best for individual-level stigma and the Stigmatising Attitudes, Beliefs and Actions Scale for community-level stigma. CONCLUSION: Gaps in abortion stigma measurement include geography, conceptualisation, and structural-level stigma. Continued development and testing of tools and methods for measuring abortion stigma is needed.</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Eur J Contracept Reprod Health Care</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317. What issues matter most to people with multiple myeloma and how well are we measuring them? A systematic review of quality of life tools</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Osborne, T. R., Ramsenthaler, C., Siegert, R. J., Edmonds, P. M., Schey, S. A., Higginson, I. J.</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INTRODUCTION: Treatment advances in multiple myeloma have increased expected survival from months to years for some patients. Alongside improved survival emerges a need to better understand and measure health-related quality of life (HRQOL), both in research and clinical settings. OBJECTIVES: (i) Identify HRQOL tools validated for use in myeloma; (ii) identify issues important to HRQOL from the point of view of patients with myeloma; (iii) describe the measurement properties of each HRQOL tool; (iv) evaluate the content validity of HRQOL tools in terms of their ability to capture all issues important to patients and (v) explore the suitability of each HRQOL tool for use in different settings. METHOD: Systematic literature review of six databases with no limits by date or language. RESULTS: Thirty-nine studies reported validation of 13 HRQOL instruments. Seven studies identified issues important to HRQOL from the patients' perspective. No instrument was comprehensive to all issues important to patients. The EORTC-QLQ-C30 and MY24 have undergone the most comprehensive psychometric validation. Most validation occurred in trial patients and not clinically representative groups. No studies evaluated clinical utility of tools alongside routine practice. CONCLUSION: The best existing HRQOL tools are designed predominantly for use in research. Reliable, valid and responsive tools exist for this purpose, but may miss issues important to patients. The design of HRQOL measures should be guided by intended utility, whether for research or clinical practice, and further validation of HRQOL tools in clinically representative groups is needed. Development and validation of HRQOL tools for clinical use may be of value</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Eur.J Haematol.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6</w:t>
      </w:r>
    </w:p>
    <w:p w:rsidP="00000000" w:rsidRDefault="00000000" w:rsidR="00000000" w:rsidRPr="00000000" w:rsidDel="00000000">
      <w:pPr>
        <w:pStyle w:val="Heading2"/>
        <w:contextualSpacing w:val="0"/>
      </w:pPr>
      <w:r w:rsidR="00000000" w:rsidRPr="00000000" w:rsidDel="00000000">
        <w:rPr>
          <w:rStyle w:val="Heading2"/>
          <w:rtl w:val="0"/>
        </w:rPr>
        <w:t xml:space="preserve">2275. What tests should be used to assess functional performance in youth and young adults following anterior cruciate ligament or meniscal injury? A systematic review of measurement properties for the OPTIKNEE consensus</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Berg, B., Urhausen, A. P., Øiestad, B. E., Whittaker, J. L., Culvenor, A. G., Roos, E. M., Crossley, K. M., Juhl, C. B., Risberg, M. A.</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10.1136/bjsports-2022-105510</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OBJECTIVES: To critically appraise and summarise measurement properties of functional performance tests in individuals following anterior cruciate ligament (ACL) or meniscal injury. DESIGN: Systematic review. DATA SOURCES: Systematic searches were performed in Medline (Ovid), Embase (Ovid), CINAHL (EBSCO) and SPORTSDiscus (EBSCO) on 7 July 2021. ELIGIBILITY CRITERIA FOR SELECTING STUDIES: Studies evaluating at least one measurement property of a functional performance test including individuals following an ACL tear or meniscal injury with a mean injury age of ≤30 years. The COnsensus-based Standards for the selection of health Measurement INstruments Risk of Bias checklist was used to assess methodological quality. A modified Grading of Recommendations Assessment, Development and Evaluation assessed evidence quality. RESULTS: Thirty studies evaluating 26 functional performance tests following ACL injury were included. No studies were found in individuals with an isolated meniscal injury. Included studies evaluated reliability (n=5), measurement error (n=3), construct validity (n=26), structural validity (n=1) and responsiveness (n=1). The Single Leg Hop and Crossover Hop tests showed sufficient intrarater reliability (high and moderate quality evidence, respectively), construct validity (low-quality and moderate-quality evidence, respectively) and responsiveness (low-quality evidence). CONCLUSION: Frequently used functional performance tests for individuals with ACL or meniscal injury lack evidence supporting their measurement properties. The Single Leg Hop and Crossover Hop are currently the most promising tests following ACL injury. High-quality studies are required to facilitate stronger recommendations of performance-based outcomes following ACL or meniscal injury.</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Br J Sports Med</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2341. What tools should be used to identify women in need of additional support in pregnancy?</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Insua-Summerhays, B., Knowles Bevis, B., Barlow, P. J.</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10.1080/02646838.2022.2103525</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OBJECTIVE: This study aimed to identify and inform recommendation of self-report and interview-based instruments that are feasible, reliable and valid to evaluate the quality of the maternal-fetal relationship (MFR). BACKGROUND: Several constructs predicting parent-infant interaction and later infant adjustment are used to assess mothers' thoughts and feelings towards their unborn baby, including reflective functioning, mind-mindedness, representation, and fetal attachment. As yet, there is no existing review comparing the quality and accessibility of instruments across each of these constructs. METHODS: A systematic literature review was undertaken to synthesise psychometric information on measures reporting on the MFR. Searches of six databases were conducted. English articles were selected based on inclusion and exclusion criteria. The QATSDD checklist was used to assess study quality. RESULTS:  Of 669 studies identified, 28 met inclusion criteria. Thirteen different instruments were identified for evaluation. Reported reliability and validity varied significantly across instruments, as well as availability for research and/or clinical use. CONCLUSION: Suggestions for research and clinical practice include further evaluation of the psychometric properties of tools, particularly for self-report measures of reflective functioning, use of interviews to scaffold reflexivity, and development of clinical policies and procedures to clarify care pathways for expectant mothers needing further support.</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J Reprod Infant Psychol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sectPr>
      <w:pgSz w:w="12240" w:h="15840" w:orient="portrait"/>
      <w:pgMar w:top="1440" w:bottom="1440" w:left="1440" w:right="144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font w:name="Arial"/>
  <w:font w:name="Trebuchet M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p w:rsidP="00000000" w:rsidRDefault="00000000" w:rsidR="00000000" w:rsidRPr="00000000" w:rsidDel="00000000">
    <w:pPr>
      <w:contextualSpacing w:val="0"/>
      <w:jc w:val="center"/>
    </w:pPr>
    <w:r w:rsidR="00000000" w:rsidRPr="00000000" w:rsidDel="00000000">
      <w:rPr/>
      <w:fldChar w:fldCharType="begin"/>
      <w:instrText xml:space="preserve">PAGE</w:instrText>
      <w:fldChar w:fldCharType="end"/>
    </w:r>
    <w:r w:rsidR="00000000" w:rsidRPr="00000000" w:rsidDel="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isplayBackgroundShape w:val="1"/>
  <w:defaultTabStop w:val="720"/>
  <w:compat>
    <w:compatSetting w:val="14" w:name="compatibilityMode" w:uri="http://schemas.microsoft.com/office/word"/>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ocDefaults>
    <w:rPrDefault>
      <w:rPr>
        <w:rFonts w:cs="Arial" w:hAnsi="Arial" w:eastAsia="Arial" w:ascii="Arial"/>
        <w:b w:val="0"/>
        <w:i w:val="0"/>
        <w:caps w:val="0"/>
        <w:smallCaps w:val="0"/>
        <w:strike w:val="0"/>
        <w:color w:val="333333"/>
        <w:sz w:val="20"/>
        <w:u w:val="none"/>
        <w:vertAlign w:val="baseline"/>
      </w:rPr>
    </w:rPrDefault>
    <w:pPrDefault>
      <w:pPr>
        <w:keepNext w:val="0"/>
        <w:keepLines w:val="0"/>
        <w:widowControl w:val="1"/>
        <w:spacing w:lineRule="auto" w:before="0" w:after="0" w:line="320"/>
        <w:ind w:left="0" w:right="0" w:firstLine="0"/>
        <w:jc w:val="left"/>
      </w:pPr>
    </w:pPrDefault>
  </w:docDefaults>
  <w:style w:styleId="Normal" w:type="paragraph" w:default="1">
    <w:name w:val="normal"/>
  </w:style>
  <w:style w:styleId="TableNormal" w:type="table" w:default="1">
    <w:name w:val="Table Normal"/>
    <w:pPr>
      <w:spacing w:lineRule="auto" w:line="459.99999999999994" w:before="0" w:after="0"/>
    </w:pPr>
  </w:style>
  <w:style w:styleId="Heading1" w:type="paragraph">
    <w:name w:val="heading 1"/>
    <w:basedOn w:val="Normal"/>
    <w:next w:val="Normal"/>
    <w:pPr>
      <w:keepNext w:val="0"/>
      <w:keepLines w:val="0"/>
      <w:widowControl w:val="1"/>
      <w:spacing w:lineRule="auto" w:after="120"/>
      <w:contextualSpacing w:val="1"/>
    </w:pPr>
    <w:rPr>
      <w:rFonts w:cs="Palatino" w:hAnsi="Palatino" w:eastAsia="Palatino" w:ascii="Palatino"/>
      <w:sz w:val="36"/>
    </w:rPr>
  </w:style>
  <w:style w:styleId="Heading2" w:type="paragraph">
    <w:name w:val="heading 2"/>
    <w:basedOn w:val="Normal"/>
    <w:next w:val="Normal"/>
    <w:pPr>
      <w:keepNext w:val="0"/>
      <w:keepLines w:val="0"/>
      <w:widowControl w:val="1"/>
      <w:spacing w:lineRule="auto" w:before="120" w:after="160"/>
      <w:contextualSpacing w:val="1"/>
    </w:pPr>
    <w:rPr>
      <w:rFonts w:cs="Arial" w:hAnsi="Arial" w:eastAsia="Arial" w:ascii="Arial"/>
      <w:b w:val="1"/>
      <w:sz w:val="26"/>
    </w:rPr>
  </w:style>
  <w:style w:styleId="Heading3" w:type="paragraph">
    <w:name w:val="heading 3"/>
    <w:basedOn w:val="Normal"/>
    <w:next w:val="Normal"/>
    <w:pPr>
      <w:keepNext w:val="0"/>
      <w:keepLines w:val="0"/>
      <w:widowControl w:val="1"/>
      <w:spacing w:lineRule="auto" w:before="120" w:after="160"/>
      <w:contextualSpacing w:val="1"/>
    </w:pPr>
    <w:rPr>
      <w:rFonts w:cs="Arial" w:hAnsi="Arial" w:eastAsia="Arial" w:ascii="Arial"/>
      <w:b w:val="1"/>
      <w:i w:val="1"/>
      <w:color w:val="666666"/>
      <w:sz w:val="24"/>
    </w:rPr>
  </w:style>
  <w:style w:styleId="Heading4" w:type="paragraph">
    <w:name w:val="heading 4"/>
    <w:basedOn w:val="Normal"/>
    <w:next w:val="Normal"/>
    <w:pPr>
      <w:keepNext w:val="0"/>
      <w:keepLines w:val="0"/>
      <w:widowControl w:val="1"/>
      <w:spacing w:lineRule="auto" w:before="120" w:after="120"/>
      <w:contextualSpacing w:val="1"/>
    </w:pPr>
    <w:rPr>
      <w:rFonts w:cs="Palatino" w:hAnsi="Palatino" w:eastAsia="Palatino" w:ascii="Palatino"/>
      <w:b w:val="1"/>
      <w:sz w:val="24"/>
    </w:rPr>
  </w:style>
  <w:style w:styleId="Heading5" w:type="paragraph">
    <w:name w:val="heading 5"/>
    <w:basedOn w:val="Normal"/>
    <w:next w:val="Normal"/>
    <w:pPr>
      <w:keepNext w:val="0"/>
      <w:keepLines w:val="0"/>
      <w:widowControl w:val="1"/>
      <w:spacing w:lineRule="auto" w:before="120" w:after="120"/>
      <w:contextualSpacing w:val="1"/>
    </w:pPr>
    <w:rPr>
      <w:rFonts w:cs="Arial" w:hAnsi="Arial" w:eastAsia="Arial" w:ascii="Arial"/>
      <w:b w:val="1"/>
      <w:sz w:val="22"/>
    </w:rPr>
  </w:style>
  <w:style w:styleId="Heading6" w:type="paragraph">
    <w:name w:val="heading 6"/>
    <w:basedOn w:val="Normal"/>
    <w:next w:val="Normal"/>
    <w:pPr>
      <w:keepNext w:val="0"/>
      <w:keepLines w:val="0"/>
      <w:widowControl w:val="1"/>
      <w:spacing w:lineRule="auto" w:before="120" w:after="120"/>
      <w:contextualSpacing w:val="1"/>
    </w:pPr>
    <w:rPr>
      <w:rFonts w:cs="Arial" w:hAnsi="Arial" w:eastAsia="Arial" w:ascii="Arial"/>
      <w:i w:val="1"/>
      <w:color w:val="666666"/>
      <w:sz w:val="22"/>
      <w:u w:val="single"/>
    </w:rPr>
  </w:style>
  <w:style w:styleId="Title" w:type="paragraph">
    <w:name w:val="title"/>
    <w:basedOn w:val="Normal"/>
    <w:next w:val="Normal"/>
    <w:pPr>
      <w:keepNext w:val="0"/>
      <w:keepLines w:val="0"/>
      <w:widowControl w:val="1"/>
      <w:contextualSpacing w:val="1"/>
    </w:pPr>
    <w:rPr>
      <w:rFonts w:cs="Palatino" w:hAnsi="Palatino" w:eastAsia="Palatino" w:ascii="Palatino"/>
      <w:sz w:val="60"/>
    </w:rPr>
  </w:style>
  <w:style w:styleId="Subtitle" w:type="paragraph">
    <w:name w:val="subtitle"/>
    <w:basedOn w:val="Normal"/>
    <w:next w:val="Normal"/>
    <w:pPr>
      <w:keepNext w:val="0"/>
      <w:keepLines w:val="0"/>
      <w:widowControl w:val="1"/>
      <w:spacing w:lineRule="auto" w:before="60"/>
      <w:contextualSpacing w:val="1"/>
    </w:pPr>
    <w:rPr>
      <w:rFonts w:cs="Arial" w:hAnsi="Arial" w:eastAsia="Arial" w:ascii="Arial"/>
      <w:sz w:val="28"/>
    </w:rPr>
  </w:style>
  <w:style w:styleId="DefaultTable" w:type="table">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s>
</file>

<file path=word/_rels/document.xml.rels><?xml version="1.0" encoding="UTF-8" standalone="yes"?>
<Relationships xmlns="http://schemas.openxmlformats.org/package/2006/relationships"><Relationship Target="fontTable.xml" Type="http://schemas.openxmlformats.org/officeDocument/2006/relationships/fontTable" Id="rId1"/><Relationship Target="footer1.xml" Type="http://schemas.openxmlformats.org/officeDocument/2006/relationships/footer" Id="rId2"/><Relationship Target="numbering.xml" Type="http://schemas.openxmlformats.org/officeDocument/2006/relationships/numbering" Id="rId3"/><Relationship Target="settings.xml" Type="http://schemas.openxmlformats.org/officeDocument/2006/relationships/settings" Id="rId4"/><Relationship Target="styles.xml" Type="http://schemas.openxmlformats.org/officeDocument/2006/relationships/styles" Id="rId5"/></Relationships>

</file>

<file path=docProps/app.xml><?xml version="1.0" encoding="utf-8"?>
<Properties xmlns="http://schemas.openxmlformats.org/officeDocument/2006/extended-properties" xmlns:vt="http://schemas.openxmlformats.org/officeDocument/2006/docPropsVTypes">
  <Application>Caracal</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caracal.docx</dc:title>
</cp:coreProperties>
</file>

<file path=docProps/custom.xml><?xml version="1.0" encoding="utf-8"?>
<Properties xmlns="http://schemas.openxmlformats.org/officeDocument/2006/custom-properties" xmlns:vt="http://schemas.openxmlformats.org/officeDocument/2006/docPropsVTypes"/>
</file>