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3088. Wheelchair outcome measurement instruments for children: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Curi, H. T., Ferretti, E. C., de Soárez, P.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10.1080/17483107.2025.2558215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This scoping review aimed to explore and map wheelchair outcome measurement instruments for children in the literature. MATERIALS AND METHODS: A scoping review was conducted following the Joanna Briggs Institute (JBI) methodology. The review focused on children (≤18 years) manual or motorised wheelchair users, and included primary sources of literature on wheelchair outcome measurement instruments. A search was conducted in nine electronic databases, including grey literature. Data on general characteristics, psychometric properties (validity, reliability, responsiveness) were extracted and analysed descriptively. RESULTS: A total of 27 studies and 33 instruments were included, mostly focused on manual wheelchair users (n=23). Performance-based outcomes instruments were the most common (n=15). Construct validity (n=19) and test-retest (n=19) were the most assessed psychometric property. Responsiveness (n=3) and intra-rater (n=3) were the least reported. The most frequently conducted statistical analyses were: minimal detectable difference (MDD) (n=12), standard error of measurement (SEM) (n = 12), intraclass correlation coefficient (ICC) (n=16) and Pearson correlation (n=9). The most common construct was propulsion perfomance in a manual wheelchair (n=6). CONCLUSION: Wheelchair outcome measurement instruments for children mainly assess manual wheelchairs, emphasising propulsion perfomance as the primary outcome. Responsiveness and intra-rater are underreported, highlighting a gap for future research. Standardised methodologies and detailed reporting, including sample size specifications, are essential for advancing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 Assist Technol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2637. When the Patient-Reported Outcome Measure Probably Does Not Measure What You Think You Are Measuring: Quantifying Fear Avoidance Behaviours in people with Concussion. A COSMIN-Informed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Sherwood, L. J., Korakakis, V., Mosler, A. B., Fortington, L., Murphy, M.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10.2519/jospt.2023.11685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The validity of existing fear avoidance behaviour patient reported outcome measures (PROMs) for concussion is unknown. This study aims to (1) identify PROMs that assess fear avoidance behaviour in individuals with concussion and (2) assess the measurement properties of these PROMs. DESIGN: A systematic review of outcome measurement instruments using the Consensus Standards for the Selection of Health Measurement Instruments (COSMIN) checklist LITERATURE SEARCH: We performed a systematic search of seven databases. STUDY SELECTION CRITERIA: Studies were included if they assessed fear avoidance behaviour (e.g., kinesiophobia or cogniphobia) in participants with concussion, occurring in all settings (e.g., sport, falls, assaults). DATA SYNTHESIS: Methodological quality of the PROMs was assessed using the COSMIN checklist and the certainty of the evidence was assessed using the Grading of Recommendations Assessment, Development and Evaluation (GRADE) approach. RESULTS: We identified 40 studies assessing fear avoidance. Four studies (n=875 participants, representing three PROMs) were eligible for COSMIN assessment. Content validity for all PROMs was insufficient due to extreme risk of bias. The Fear Avoidance Short Form Scale demonstrated the greatest validity: moderate-certainty evidence for sufficient structural validity and internal consistency, and low-certainty evidence for measurement invariance. CONCLUSION: Current PROMs for measuring fear avoidance behaviours in people with concussion have insufficient content validity, and should be used with caution in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993. Where Are We: A Systematic Evaluation of the Psychometric Properties of Pain Assessment Scales for Use in Chinese Children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Bai, J., Jiang,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10.1016/j.pmn.2014.11.003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Systematic pain assessment using reliable and valid pain scales is the foundation for optimal pain management in children. To evaluate the available scales for pain assessment in Chinese children, we systematically evaluated the psychometric properties of pain measurements used in Chinese children. We searched Chinese- and English-language databases from their inception to September 2013. Studies were eligible for inclusion if the psychometric properties of pain measures were examined in Chinese children (aged 0-18 years). Two bilingual reviewers independently evaluated the psychometric properties of the identified pain scales by a revised 11-item coding system. In all, 6 studies involving 775 participants were included in this review with six pain scales examined, including the Face, Legs, Activity, Cry, and Consolability (FLACC) Scale, COMFORT-Behavior Scale, Asian Version of Oucher Scale, Pain Observation Scale for Young Children (POCIS), Neonatal Facial Coding System (NFCS) and Pain Assessment Scale for Preterm Infants (PASPI). The FLACC, COMFORT-Behavior Scale, and PASPI had very good psychometric qualities when administered in Chinese children; the Asian Version of Oucher Scale and POCIS showed acceptable to good psychometric qualities; and the NFCS had unacceptable psychometric qualities. Further psychometric testing of these observational measures and self-report pain scales in particular are needed among Chinese children of various age groups and in different pain situations.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Pain Manag Nurs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2279. Where Are We on Proprioception Assessment Tests Among Poststroke Individuals?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Jamal, K., Penisson, A., Rostagno, S., Duclos,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10.1097/npt.0000000000000405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AND PURPOSE: Proprioception is often impaired in poststroke individuals. This is a significant issue since altered proprioception is associated with poorer physical function outcomes poststroke. However, there is limited consensus on the best tools for assessing proprioception and support for their widespread use by clinicians. The objective is to appraise the psychometric properties of each test used to assess proprioception in poststroke individuals. METHODS: A systematic search was performed according to PRISMA guidelines using the databases MEDLINE, Cochrane Library, PEDro, DiTa, and BioMedicalCentral for articles published up to January 2021. RESULTS: Sixteen studies of low methodological quality were included. Sixteen different proprioception assessment tests were extracted. The proprioception portion of the Fugl-Meyer Assessment Scale was found to be the most valid and reliable tool for screening patients in clinical settings. Although no real gold standard exists, the technological devices demonstrated better responsiveness and measurement accuracy than clinical tests. Technological devices might be more appropriate for assessing proprioception recovery or better suited for research purposes. DISCUSSION AND CONCLUSIONS: This review revealed low-quality articles and a paucity of tests with good psychometric properties available to clinicians to properly screen and assess all subcomponents of proprioception. In perspective, technological devices, such as robotic orthoses or muscle vibration, may provide the best potential for assessing the different subcomponents of proprioception. Further studies should be conducted to develop and investigate such approaches.Video, Supplemental Digital Content 1, available at:http://links.lww.com/JNPT/A388.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413. Which are the best instruments for measuring disabilities in gait and gait-related activities in patients with rheumatic disorders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Swinkels, R. A. H. M., Oostendorp, R. A. B., Bouter,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Our first objective was to make an inventory of available instruments for the assessment of disabilities in gait and related activities in patients with rheumatic disorders. Our second at. In was to investigate which of these instruments have acceptable methodological quality with regard to reliability and validity Our third aim was to investigate the assumption that the evaluation of convergent construct validity results in stronger correlations when validated against a more similar construct.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Clinical and Experimental Rheumatology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302. Which Are the Most Frequently Used Outcome Instruments in Studies on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Naal, F. D., Impellizzeri, F. M., Rippstein, P.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number of studies reporting on outcomes after total ankle arthroplasty is continuously increasing. As the use of valid outcome measures represents the cornerstone for successful clinical research, we aimed to identify the most frequently used outcome instruments in ankle arthroplasty studies and to analyze the evidence to support their use in terms of different quality criteria. A systematic review of the literature identified 15 outcome instruments reported in 79 original studies. The most commonly used measures were the American Orthopaedic Foot and Ankle Society hindfoot score (n = 41), the Kofoed ankle score (n = 21), a visual analog scale assessing pain (n = 15), and the generic SF-36 (n = 6). Eight additional instruments were used only once or twice. The American Orthopaedic Foot and Ankle Society and Kofoed instruments include a clinical examination and score up to 100 points. Evidence to support their use in terms of validity, reliability, responsiveness, and interpretability is limited, raising the question whether their use is justified. Self-reported questionnaires related to ankle osteoarthritis or arthroplasty are rather disregarded in the current literature, and only the Foot Function Index is associated with evidence in terms of the above-mentioned quality criteria. Future research is warranted to improve the outcome assessment after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1917. Which Frailty Scales for Patients with Adult Spinal Deformity are Feasible and Adequate?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Kitamura, K., van Hooff, M., Jacobs, W., Watanabe, K., de Kleuver,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10.1016/j.spinee.2022.01.017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CONTEXT: Frailty as a concept is not yet fully understood, and is not the same as comorbidity. It is associated with an increased risk of adverse events and mortality after surgery, which makes its preoperative assessment significant. Despite its relevance, it still remains unclear which scales are appropriate for use in patients with spinal pathology. PURPOSE: To evaluate the feasibility and measurement properties of frailty scales for spine patients, specifically with adult spinal deformity (ASD), and to propose adequate scales for primary triage to prevent surgery in too frail patients and for preoperative assessment to modify patients' condition and surgical plans. STUDY DESIGN/SETTING: Systematic review METHODS: : Systematic search was performed between 2010 and 2021 including terms relating to spinal disorders, frailty scales, and methodological quality. Characteristics of the studies and frailty scales and data describing relation to treatment outcomes were extracted. The risk of bias was determined with the QAREL score. RESULTS: Of the 1993 references found, 88 original studies were included and 23 scales were identified. No prospective interventional study was found where the preoperative frailty assessment was implemented. Predictive value of scales for surgical outcomes varied, dependent on spinal disorders, type of surgeries, patients' age and frailty at baseline, and outcomes. Seventeen studies reported measurement properties of eight scales but these studies were not free of bias. In 30 ASD studies, ASD-Frailty Index (ASD-FI, n=14) and 11-item modified Frailty Index (mFI-11, n=11) were most frequently used. These scales were mainly studied in registry studies including young adult population, and carry a risk of sample bias and make their validity in elderly population unclear. ASD-FI covers multidisciplinary concepts of frailty with 40 items but its feasibility in clinical practice is questionable due to its length. The Risk Analysis Index (RAI), another multidisciplinary scale with 14 items, has been implemented for preoperative assessment in other surgical domains and was proven to be feasible and effective in interventional prospective studies. The FRAIL is a simple questionnaire with five items and its predictive value was confirmed in prospective cohort studies in which only elderly patients were included. CONCLUSIONS: No adequate scale was identified in terms of methodological quality and feasibility for daily practice. Careful attention should be paid when choosing an adequate scale, which depends on the setting of interest (eg triage or pre-operative work-up). We recommend to further study a simple and predictive scale such as FRAIL for primary triage and a comprehensive and feasible scale such as RAI for preoperative assessment for patients undergoing spine surgery, as their adequacy has been shown in other medical domains.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2359. Which Functional Tests and Self-Reported Questionnaires Can Help Clinicians Make Valid Return to Sport Decisions in Patients With Chronic Ankle Instability? A Narrative Review and Expert Opinion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Picot, B., Hardy, A., Terrier, R., Tassignon, B., Lopes, R., Fourchet,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10.3389/fspor.2022.902886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Lateral ankle sprain is the most common injury in sports, with up to 40% of patients developing chronic ankle instability (CAI). One possible cause underlying this high rate of recurrence or feeling of giving way may be a premature return to sport (RTS). Indeed, except for time-based parameters, there are no specific criteria to guide clinicians in their RTS decisions in patients with CAI. A recent international consensus highlighted the relevance and importance of including patient-reported ankle function questionnaires combined with functional tests targeting ankle impairments in this population. Thus, the aim of this narrative review and expert opinion was to identify the most relevant functional performance tests and self-reported questionnaires to help clinicians in their RTS decision-making process following recurrent ankle sprains or surgical ankle stabilization. The PubMed (MEDLINE), PEDro, Cochrane Library and ScienceDirect databases were searched to identify published articles. Results showed that the single leg stance test on firm surfaces, the modified version of the star excursion balance test, the side hop test and the figure-of-8 test appeared to be the most relevant functional performance tests to target ankle impairments in patients with CAI. A combination of the Foot and Ankle Ability Measure (FAAM) and the Ankle Ligament Reconstruction-Return to Sport after Injury (ALR-RSI) questionnaires were the most relevant self-reported questionnaires to assess patient function in the context of CAI. Although these functional tests and questionnaires provide a solid foundation for clinicians to validate their RTS decisions in patient with CAI, objective scientific criteria with cut-off scores are still lacking. In addition to the proposed test cluster, an analysis of the context, in particular characteristics related to sports (e.g., fatigue, cognitive constraints), to obtain more information about the patient's risk of recurrent injury could be of added value when making a RTS decision in patients with CAI. In order to evaluate the strength of evertors under ecological conditions, it would also be interesting to assess the ability to control weight-bearing ankle inversion in a unipodal stance. Further studies are needed to assess the relevance of this proposed test cluster in RTS decision-making following lateral ankle sprain injury and CAI.</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Sports Act Living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563. Which instruments can detect submaximal physical and functional capacity in patients with chronic nonspecific back pain?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der Meer, S., Trippolini, M. A., van der Palen, J., Verhoeven, J., Reneman, M.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STUDY DESIGN: Systematic review. OBJECTIVE: To evaluate the validity of instruments that claim to detect submaximal capacity when maximal capacity is requested in patients with chronic nonspecific musculoskeletal pain. SUMMARY OF BACKGROUND DATA: Several instruments have been developed to measure capacity in patients with chronic pain. The detection of submaximal capacity can have major implications for patients. The validity of these instruments has never been systematically reviewed. METHODS: A systematic literature search was performed including the following databases: Web of Knowledge (including PubMed and Cinahl), Scopus, and Cochrane. Two reviewers independently selected the articles based on the title and abstract according to the study selection criteria. Studies were included when they contained original data and when they objectified submaximal physical or functional capacity when maximal physical or functional capacity was requested. Two authors independently extracted data and rated the quality of the articles. The included studies were scored according to the subscales "Criterion Validity" and "Hypothesis Testing" of the COSMIN checklist. A Best Evidence Synthesis was performed. RESULTS: Seven studies were included, 5 of which used a reference standard for submaximal capacity. Three studies were of good methodological quality and validly detected submaximal capacity with specificity rates between 75% and 100%. CONCLUSION: There is strong evidence that submaximal capacity can be detected in patients with chronic low back pain with a lumbar motion monitor or visual observations accompanying a functional capacity evaluation lifting test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(Phila Pa 1976.)</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25</w:t>
      </w:r>
    </w:p>
    <w:p w:rsidP="00000000" w:rsidRDefault="00000000" w:rsidR="00000000" w:rsidRPr="00000000" w:rsidDel="00000000">
      <w:pPr>
        <w:pStyle w:val="Heading2"/>
        <w:contextualSpacing w:val="0"/>
      </w:pPr>
      <w:r w:rsidR="00000000" w:rsidRPr="00000000" w:rsidDel="00000000">
        <w:rPr>
          <w:rStyle w:val="Heading2"/>
          <w:rtl w:val="0"/>
        </w:rPr>
        <w:t xml:space="preserve">111. Which measurement scales should we use to measure breathlessness in palliative care?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Dorman, S., Byrne, A., Edwards,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There is no universally accepted measurement scale to assess breathlessness in adult palliative care patients. This significantly hampers clinical practice and research into effective interventions. The aim is to systematically identify and appraise breathlessness measurement scales, which are validated for use in palliative care or which show potential for use. Methods: We undertook systematic searches of electronic databases (Cochrane databases 2005, MEDLINE 1966-2005, OLDMEDLINE 1950-1965, EMBASE 1980-2005, PsycINFO 1872-2005, AMED 1985-2005, CINAHL 1982-2005, SIGLE 1980-2005) with follow-up searches (reference lists of included papers, handsearches of relevant journals). The basic search strategy was 'breathlessness (etc.) AND measurement (scales, validation etc.) AND palliative care/cardiac failure/respiratory disease/neoplasm etc.', modified for each database, without language restriction. Patient-based scales with evaluations of at least two psychometric characteristics were included. Exercise-based tests were excluded. Scales were appraised with particular emphasis on construct validity and responsiveness.Results: We identified 29 scales: six to measure breathlessness severity, four to assess breathlessness descriptions, and 19 to measure functional impact of breathlessness.Severity: The Numeric Rating Scale (NRS) and modified Borg Scale have been evaluated in COPD (the NRS has also been evaluated in cancer). Both require further assessment of responsiveness and test-retest reliability over time intervals relevant to palliative care. Visual Analogue Scales have also been evaluated, but require larger sample sizes than NRS for evidence of intervention effectiveness. Descriptions: The Japanese Cancer Dyspnoea Scale (CDS) has been evaluated in patients with cancer, but requires further assessment of construct validity and responsiveness. Functional impact: The Chronic Respiratory Questionnaire dyspnoea subscale (CRQ-D) has been evaluated in chronic lung diseases and heart failure; the MND Respiratory Scale is similar. CRQ-D has face and construct validity, test-retest reliability and responsiveness, and shows promise for palliative care. Conclusion: The NRS, modified Borg, CRQ-D and CDS appear most suitable for use in palliative care, but further evaluation is required before adopting any scale as standard. This review has been registered with the Cochrane collaboration and will be published and updated as a Cochrane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Palliat.Med.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