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2029. Which patient reported outcomes (PROs) and patient reported outcome measures (PROMs) do researchers select in stress urinary incontinence surgical trials? -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Loganathan, J., Coffey, J., Doumouchtsis, S.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10.1007/s00192-022-05123-7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AND HYPOTHESIS: The mesh controversy has highlighted the need for robust evidence of treatment safety and efficacy, particularly in the surgical treatment of stress urinary incontinence (SUI). Current trials demonstrate heterogeneity in outcomes reported as well as outcome measures used, restricting the ability to synthesize data and produce robust research evidence (Doumouchtsis et al. 5). Patient-reported outcomes (PROs) should be a focus when evaluating SUI surgery given the quality-of-life nature of this condition affecting 25-45% women worldwide (Milsom and Gyhagen 1). As part of the first step in developing a core outcome set (COS) and measures set (COMS), we aimed to systematically review RCTs evaluating SUI surgery and extract PROs and outcome measures (PROMs) used. MATERIALS AND METHODS: We searched databases including MEDLINE and Cochrane for RCTs evaluating SUI surgical treatments from inception to January 2020. Eligibility criteria included English language and female-only subjects. PROs and PROMs were extracted and grouped into a structured inventory. PROMs were assigned to domains based on predominant theme. RESULTS: Of 123 eligible RCTs, 116 (94%) included PROs. Forty-four different PROMs were utilized; most frequent was Patient Global Impression of Improvement (PGI-I). Fifteen PROMs were used once. The top five PROMs have evidence of validity and are highly recommended. CONCLUSIONS: There is no consensus amongst relevant stakeholders regarding PROs or PROMs used in SUI surgery research. We propose that this consensus is required to standardize measurements and reporting and promote use of validated and reliable outcome measures. This systematic review forms the first step in the development process.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Urogynecol J</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387. Which quality of life score is best for glaucoma patients and why?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Severn, P., Fraser, S., Finch, T., May,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The glaucomas are generally asymptomatic diseases until they are very advanced. They affect 2% of the population over 40 years of age and therefore represent a significant public health issue. There have been a number of attempts to develop quality of life scales for the disease. This review discusses the pros and cons of these scales and suggests the best of the current ones for use in a clinical setting. METHODS: Medline, Embase and Google Scholar were searched for relevant articles. No time period was defined and all types of article were included. RESULTS: 11 Quality of Life scores were identified that have been used with glaucoma patients. CONCLUSION: There is no generally accepted 'best' Quality of Life instrument for use in glaucoma. Many of the scales are biased towards physical symptoms and do little to address the personal or social factors of the disease. Further work is needed to produce scales that address all these areas as well as being simple to administer in a clinical setting</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BMC Ophthalmol.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143. Which symptom assessments and approaches are uniquely appropriate for paediatric concussion?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Gioia, G. A., Schneider, J. C., Vaughan, C. G., Isquith, P.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(a) identify post-concussion symptom scales appropriate for children and adolescents in sports; (b) review evidence for reliability and validity; and (c) recommend future directions for scale development. DESIGN: Quantitative and qualitative literature review of symptom rating scales appropriate for children and adolescents aged 5 to 22 years. INTERVENTION: Literature identified via search of Medline, Ovid-Medline and PsycInfo databases; review of reference lists in identified articles; querying sports concussion specialists. 29 articles met study inclusion criteria. RESULTS: 5 symptom scales examined in 11 studies for ages 5-12 years and in 25 studies for ages 13-22. 10 of 11 studies for 5-12-year-olds presented validity evidence for three scales; 7 studies provided reliability evidence for two scales; 7 studies used serial administrations but no reliable change metrics. Two scales included parent-reports and one included a teacher report. 24 of 25 studies for 13-22 year-olds presented validity evidence for five measures; seven studies provided reliability evidence for four measures with 18 studies including serial administrations and two examining Reliable Change. CONCLUSIONS: Psychometric evidence for symptom scales is stronger for adolescents than for younger children. Most scales provide evidence of concurrent validity, discriminating concussed and non-concussed groups. Few report reliability and evidence for validity is narrow. Two measures include parent/teacher reports. Few scales examine reliable change statistics, limiting interpretability of temporal changes. Future studies are needed to fully define symptom scale psychometric properties with the greatest need in younger student-athletes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 J Sports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3168. Who is the PROM King? Patient-reported Outcome Measures in Pediatric Musculoskeletal Oncology: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Baghdadi, S., Van Eenenaam, D., Jr., Talwar, D., Arkader,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10.1097/bpo.0000000000002874</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Patient-reported outcome measures (PROMs) are important companions to traditional, physician-reported measures. The purpose of this study was to systematically review and identify PROMs used in pediatric musculoskeletal oncology and evaluate these instruments. METHODS: A systematic literature review was conducted for studies pertaining to pediatric musculoskeletal tumors from 2010 to 2024. Two experts selected eligible papers for inclusion through a systematic approach. PROMs used in the eligible papers were cataloged, and the top 10 most frequently used instruments were evaluated with Evaluating Measures of Patient-Reported Outcomes (EMPRO), which is a standardized evaluation tool for PROs. RESULTS: A total of 316 publications were included in the final analysis, reporting a total of 82 unique PROMs. Of the papers, 24% reported no PROMs, whereas 67% of the instruments were only reported once. Nine out of the 10 top PROMs scored over 50 on EMPRO, meeting the minimum acceptable criteria. Musculoskeletal Tumor Society, Toronto Extremity Salvage Score, Disabilities of the Arm, Shoulder, and Hand (DASH), and Quick DASH were disease-specific instruments scoring high on EMPRO. Short Form-36, Pediatric Quality of Life Questionnaire, Quality of Life Questionnaire-30, BSI-18, and TNO AZL Child Quality Of Life met the requirements in the general instruments. Short Form-12 was the lowest-scored PROM. CONCLUSIONS: Our results show minimal consensus on the ideal PROM in pediatric musculoskeletal oncology. We recommend using instruments that are already in widespread use instead of obscure PROMs, which defy the purpose of reporting outcomes from a patient perspective. All 4 disease-specific instruments scored highly and are already widely used, including Musculoskeletal Tumor Society, Toronto Extremity Salvage Score, DASH, and Quick DASH. However, we found no consensus on general instruments. With the development and increasing popularity of Patient-Reported Outcomes Measurement Information System, it may replace other general instruments that are proprietary, unreliable, or not developed with pediatric patients in mind. LEVEL OF EVIDENCE: Level IV-systematic review of level II to IV studies.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Pediatr Orthop</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946. Work disability among workers with osteoarthritis of the knee: risks factors, assessment scales, and interventions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Gaudreault, Nathaly, Maillette, Pascale, Coutu, Marie France, Durand, Marie Jose, Hagemeister, Nicola, Hebert, Luc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prevalence of knee osteoarthritis (OA) among individuals active in the workforce will increase considerably in the next generation and a significant percentage of these individuals are expected to experience work disability because of this disease. The aim of this review was to summarize the existing knowledge on the following: (a) work disability risk factors; (b) reliable and valid work disability assessment tools; and (c) efficient interventions to reduce work disability in individuals with knee OA. An electronic document search using key words and MeSH terms was performed with various databases. Two independent investigators were tasked with the screening of articles and quality assessment. A critical appraisal of what is known was performed and recommendations for clinical practice and future research were formulated. The database search yielded 61 references. One article on risk factors, three related to assessment tools, and two on interventions were retained. Age and previous work absence episodes were found to be risk factors of workplace disability. The Work Limitation Questionnaire, the Work Instability Scale for Rheumatoid Arthritis, and the Workplace Activity Limitations Scale were psychometrically sound for the population studied. Education-based interventions seem to be more effective than conventional interventions in helping individuals with knee OA return to work faster, reduce the number of days absent from work, and improve their overall well-being. This review is the first to summarize the evidence on work disability risk factors, assessment tools, and interventions for this growing population and to show a critical gap in the existing knowledge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J. Rehabil.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229. Work-related self-report measures and assessment tools in cancer survivorship: a systematic literature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Ladehoff, N., Sturm, K., Mehnert,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10.3109/09638288.2012.688921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To systematically review and appraise studies examining self-report questionnaires measuring work-related aspects in cancer patients. METHOD: Literature search methodology: Searches in Embase, PsycINFO, PSYNDEXplus, PSYNDEXplus Tests and PubMed for the period 1990-2011 were completed. Inclusion criteria were as follows: (i) the questionnaire measures work-related aspects; (ii) the questionnaire has been used in at least one study, which involved cancer patient as a relevant target group; and (iii) articles were written in English or German. RESULTS: Twenty-two articles out of 350 records were reviewed and 13 questionnaires identified. The majority of measures cover several dimensions of work-related aspects representing a variety of work-related experiences and constructs such as aspects of the work environment, demands at work and work-related interpersonal relations. Nine of the 13 questionnaires showed good internal consistency whereas subscales of four instruments had fair or poor internal consistency. For 12 out of 13 measures, validity and reliability were tested in non-cancer populations. CONCLUSIONS: The knowledge about reliability and validity of self-report questionnaires measuring work-related aspects in cancer patients is scarce and more high-quality validation studies are needed. Findings further emphasize the need for the development of valid multidimensional measures that are relevant for both research and rehabilitative occupational interventions.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 Rehabil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2541. Wrist Rigidity Evaluation in Parkinson's Disease: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Alves, C. M., Rezende, A. R., Marques, I. A., Mendes, L. C., de Sá, A. A. R., Vieira, M. F., Júnior, E. A. L., Pereira, A. A., Oliveira, F. H. M., de Souza, L. P. S., Bourhis, G., Pino, P., Andrade, A. O., Morère, Y., Naves, E. L.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10.3390/healthcare10112178</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(1) Background: One of the main cardinal signs of Parkinson's disease (PD) is rigidity, whose assessment is important for monitoring the patient's recovery. The wrist is one of the joints most affected by this symptom, which has a great impact on activities of daily living and consequently on quality of life. The assessment of rigidity is traditionally made by clinical scales, which have limitations due to their subjectivity and low intra- and inter-examiner reliability. (2) Objectives: To compile the main methods used to assess wrist rigidity in PD and to study their validity and reliability, a scope review was conducted. (3) Methods: PubMed, IEEE/IET Electronic Library, Web of Science, Scopus, Cochrane, Bireme, Google Scholar and Science Direct databases were used. (4) Results: Twenty-eight studies were included. The studies presented several methods for quantitative assessment of rigidity using instruments such as force and inertial sensors. (5) Conclusions: Such methods present good correlation with clinical scales and are useful for detecting and monitoring rigidity. However, the development of a standard quantitative method for assessing rigidity in clinical practice remains a challenge.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Healthcare (Basel)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11</w:t>
      </w:r>
    </w:p>
    <w:p w:rsidP="00000000" w:rsidRDefault="00000000" w:rsidR="00000000" w:rsidRPr="00000000" w:rsidDel="00000000">
      <w:pPr>
        <w:pStyle w:val="Heading2"/>
        <w:contextualSpacing w:val="0"/>
      </w:pPr>
      <w:r w:rsidR="00000000" w:rsidRPr="00000000" w:rsidDel="00000000">
        <w:rPr>
          <w:rStyle w:val="Heading2"/>
          <w:rtl w:val="0"/>
        </w:rPr>
        <w:t xml:space="preserve">2511. Yarning about Diet: The Applicability of Dietary Assessment Methods in Aboriginal and Torres Strait Islander Australians-A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Davies, A., Coombes, J., Wallace, J., Glover, K., Porykali, B., Allman-Farinelli, M., Kunzli-Rix, T., Rangan,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10.3390/nu15030787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Conventional dietary assessment methods are based predominately on Western models which lack Aboriginal and Torres Strait Islander knowledges, methodologies, and social and cultural contextualisation. This review considered dietary assessment methods used with Aboriginal and Torres Strait Islander populations and assessed their applicability. Four electronic databases and grey literature were searched with no time limit applied to the results. Screening, data extraction and quality appraisal were undertaken independently by two reviewers. Out of 22 studies, 20 were conducted in rural/remote settings, one in an urban setting, and one at the national population level. The most frequently used and applicable dietary assessment method involved store data. Weighed food records and food frequency questionnaires had low applicability. Modifications of conventional methods were commonly used to adapt to Indigenous practices, but few studies incorporated Indigenous research methodologies such as yarning. This highlights an opportunity for further investigation to validate the accuracy of methods that incorporate qualitative yarning-based approaches, or other Indigenous research methodologies, into quantitative data collection. The importance of developing validated dietary assessment methods that are appropriate for this population cannot be understated considering the high susceptibility to nutrition-related health conditions such as malnutrition, overweight or obesity, diabetes, and cardiovascular disease.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Nutrients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