
<file path=[Content_Types].xml><?xml version="1.0" encoding="utf-8"?>
<Types xmlns="http://schemas.openxmlformats.org/package/2006/content-types">
  <Default Extension="gif" ContentType="image/gif"/>
  <Default Extension="jpeg" ContentType="image/jpeg"/>
  <Default Extension="jpg" ContentType="image/jpeg"/>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oter1.xml" ContentType="application/vnd.openxmlformats-officedocument.wordprocessingml.footer+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Types>
</file>

<file path=_rels/.rels><?xml version="1.0" encoding="UTF-8" standalone="yes"?>
<Relationships xmlns="http://schemas.openxmlformats.org/package/2006/relationships"><Relationship Target="docProps/app.xml" Type="http://schemas.openxmlformats.org/officeDocument/2006/relationships/extended-properties" Id="rId1"/><Relationship Target="docProps/core.xml" Type="http://schemas.openxmlformats.org/package/2006/relationships/metadata/core-properties" Id="rId2"/><Relationship Target="docProps/custom.xml" Type="http://schemas.openxmlformats.org/officeDocument/2006/relationships/custom-properties" Id="rId3"/><Relationship Target="word/document.xml" Type="http://schemas.openxmlformats.org/officeDocument/2006/relationships/officeDocument" Id="rId4"/></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w:background w:color="FFFFFF"/>
  <w:body>
    <w:p w:rsidP="00000000" w:rsidRDefault="00000000" w:rsidR="00000000" w:rsidRPr="00000000" w:rsidDel="00000000">
      <w:pPr>
        <w:pStyle w:val="Heading1"/>
        <w:contextualSpacing w:val="0"/>
      </w:pPr>
      <w:r w:rsidR="00000000" w:rsidRPr="00000000" w:rsidDel="00000000">
        <w:rPr>
          <w:rStyle w:val="Heading1"/>
          <w:rtl w:val="0"/>
        </w:rPr>
        <w:t xml:space="preserve">Search results</w:t>
      </w:r>
    </w:p>
    <w:p w:rsidP="00000000" w:rsidRDefault="00000000" w:rsidR="00000000" w:rsidRPr="00000000" w:rsidDel="00000000">
      <w:pPr>
        <w:pStyle w:val="Heading2"/>
        <w:contextualSpacing w:val="0"/>
      </w:pPr>
      <w:r w:rsidR="00000000" w:rsidRPr="00000000" w:rsidDel="00000000">
        <w:rPr>
          <w:rStyle w:val="Heading2"/>
          <w:rtl w:val="0"/>
        </w:rPr>
        <w:t xml:space="preserve">111. Which measurement scales should we use to measure breathlessness in palliative care? A systematic review</w:t>
      </w:r>
    </w:p>
    <w:p w:rsidP="00000000" w:rsidRDefault="00000000" w:rsidR="00000000" w:rsidRPr="00000000" w:rsidDel="00000000">
      <w:pPr>
        <w:contextualSpacing w:val="0"/>
        <w:rPr>
          <w:b w:val="1"/>
          <w:rtl w:val="0"/>
        </w:rPr>
      </w:pPr>
      <w:r w:rsidR="00000000" w:rsidRPr="00000000" w:rsidDel="00000000">
        <w:rPr>
          <w:b w:val="1"/>
          <w:rtl w:val="0"/>
        </w:rPr>
        <w:t xml:space="preserve">authors:</w:t>
      </w:r>
    </w:p>
    <w:p w:rsidP="00000000" w:rsidRDefault="00000000" w:rsidR="00000000" w:rsidRPr="00000000" w:rsidDel="00000000">
      <w:pPr>
        <w:contextualSpacing w:val="0"/>
      </w:pPr>
      <w:r w:rsidR="00000000" w:rsidRPr="00000000" w:rsidDel="00000000">
        <w:rPr>
          <w:rtl w:val="0"/>
        </w:rPr>
        <w:t xml:space="preserve">Dorman, S., Byrne, A., Edwards, A.</w:t>
      </w:r>
    </w:p>
    <w:p w:rsidP="00000000" w:rsidRDefault="00000000" w:rsidR="00000000" w:rsidRPr="00000000" w:rsidDel="00000000">
      <w:pPr>
        <w:contextualSpacing w:val="0"/>
        <w:rPr>
          <w:b w:val="1"/>
          <w:rtl w:val="0"/>
        </w:rPr>
      </w:pPr>
      <w:r w:rsidR="00000000" w:rsidRPr="00000000" w:rsidDel="00000000">
        <w:rPr>
          <w:b w:val="1"/>
          <w:rtl w:val="0"/>
        </w:rPr>
        <w:t xml:space="preserve">doi:</w:t>
      </w:r>
    </w:p>
    <w:p w:rsidP="00000000" w:rsidRDefault="00000000" w:rsidR="00000000" w:rsidRPr="00000000" w:rsidDel="00000000">
      <w:pPr>
        <w:contextualSpacing w:val="0"/>
      </w:pPr>
      <w:r w:rsidR="00000000" w:rsidRPr="00000000" w:rsidDel="00000000">
        <w:rPr>
          <w:rtl w:val="0"/>
        </w:rPr>
        <w:t xml:space="preserve"/>
      </w:r>
    </w:p>
    <w:p w:rsidP="00000000" w:rsidRDefault="00000000" w:rsidR="00000000" w:rsidRPr="00000000" w:rsidDel="00000000">
      <w:pPr>
        <w:contextualSpacing w:val="0"/>
        <w:rPr>
          <w:b w:val="1"/>
          <w:rtl w:val="0"/>
        </w:rPr>
      </w:pPr>
      <w:r w:rsidR="00000000" w:rsidRPr="00000000" w:rsidDel="00000000">
        <w:rPr>
          <w:b w:val="1"/>
          <w:rtl w:val="0"/>
        </w:rPr>
        <w:t xml:space="preserve">abstract:</w:t>
      </w:r>
    </w:p>
    <w:p w:rsidP="00000000" w:rsidRDefault="00000000" w:rsidR="00000000" w:rsidRPr="00000000" w:rsidDel="00000000">
      <w:pPr>
        <w:contextualSpacing w:val="0"/>
      </w:pPr>
      <w:r w:rsidR="00000000" w:rsidRPr="00000000" w:rsidDel="00000000">
        <w:rPr>
          <w:rtl w:val="0"/>
        </w:rPr>
        <w:t xml:space="preserve">Introduction: There is no universally accepted measurement scale to assess breathlessness in adult palliative care patients. This significantly hampers clinical practice and research into effective interventions. The aim is to systematically identify and appraise breathlessness measurement scales, which are validated for use in palliative care or which show potential for use. Methods: We undertook systematic searches of electronic databases (Cochrane databases 2005, MEDLINE 1966-2005, OLDMEDLINE 1950-1965, EMBASE 1980-2005, PsycINFO 1872-2005, AMED 1985-2005, CINAHL 1982-2005, SIGLE 1980-2005) with follow-up searches (reference lists of included papers, handsearches of relevant journals). The basic search strategy was 'breathlessness (etc.) AND measurement (scales, validation etc.) AND palliative care/cardiac failure/respiratory disease/neoplasm etc.', modified for each database, without language restriction. Patient-based scales with evaluations of at least two psychometric characteristics were included. Exercise-based tests were excluded. Scales were appraised with particular emphasis on construct validity and responsiveness.Results: We identified 29 scales: six to measure breathlessness severity, four to assess breathlessness descriptions, and 19 to measure functional impact of breathlessness.Severity: The Numeric Rating Scale (NRS) and modified Borg Scale have been evaluated in COPD (the NRS has also been evaluated in cancer). Both require further assessment of responsiveness and test-retest reliability over time intervals relevant to palliative care. Visual Analogue Scales have also been evaluated, but require larger sample sizes than NRS for evidence of intervention effectiveness. Descriptions: The Japanese Cancer Dyspnoea Scale (CDS) has been evaluated in patients with cancer, but requires further assessment of construct validity and responsiveness. Functional impact: The Chronic Respiratory Questionnaire dyspnoea subscale (CRQ-D) has been evaluated in chronic lung diseases and heart failure; the MND Respiratory Scale is similar. CRQ-D has face and construct validity, test-retest reliability and responsiveness, and shows promise for palliative care. Conclusion: The NRS, modified Borg, CRQ-D and CDS appear most suitable for use in palliative care, but further evaluation is required before adopting any scale as standard. This review has been registered with the Cochrane collaboration and will be published and updated as a Cochrane review</w:t>
      </w:r>
    </w:p>
    <w:p w:rsidP="00000000" w:rsidRDefault="00000000" w:rsidR="00000000" w:rsidRPr="00000000" w:rsidDel="00000000">
      <w:pPr>
        <w:contextualSpacing w:val="0"/>
        <w:rPr>
          <w:b w:val="1"/>
          <w:rtl w:val="0"/>
        </w:rPr>
      </w:pPr>
      <w:r w:rsidR="00000000" w:rsidRPr="00000000" w:rsidDel="00000000">
        <w:rPr>
          <w:b w:val="1"/>
          <w:rtl w:val="0"/>
        </w:rPr>
        <w:t xml:space="preserve">journal:</w:t>
      </w:r>
    </w:p>
    <w:p w:rsidP="00000000" w:rsidRDefault="00000000" w:rsidR="00000000" w:rsidRPr="00000000" w:rsidDel="00000000">
      <w:pPr>
        <w:contextualSpacing w:val="0"/>
      </w:pPr>
      <w:r w:rsidR="00000000" w:rsidRPr="00000000" w:rsidDel="00000000">
        <w:rPr>
          <w:rtl w:val="0"/>
        </w:rPr>
        <w:t xml:space="preserve">Palliat.Med.</w:t>
      </w:r>
    </w:p>
    <w:p w:rsidP="00000000" w:rsidRDefault="00000000" w:rsidR="00000000" w:rsidRPr="00000000" w:rsidDel="00000000">
      <w:pPr>
        <w:contextualSpacing w:val="0"/>
        <w:rPr>
          <w:b w:val="1"/>
          <w:rtl w:val="0"/>
        </w:rPr>
      </w:pPr>
      <w:r w:rsidR="00000000" w:rsidRPr="00000000" w:rsidDel="00000000">
        <w:rPr>
          <w:b w:val="1"/>
          <w:rtl w:val="0"/>
        </w:rPr>
        <w:t xml:space="preserve">issue:</w:t>
      </w:r>
    </w:p>
    <w:p w:rsidP="00000000" w:rsidRDefault="00000000" w:rsidR="00000000" w:rsidRPr="00000000" w:rsidDel="00000000">
      <w:pPr>
        <w:contextualSpacing w:val="0"/>
      </w:pPr>
      <w:r w:rsidR="00000000" w:rsidRPr="00000000" w:rsidDel="00000000">
        <w:rPr>
          <w:rtl w:val="0"/>
        </w:rPr>
        <w:t xml:space="preserve"/>
      </w:r>
    </w:p>
    <w:p w:rsidP="00000000" w:rsidRDefault="00000000" w:rsidR="00000000" w:rsidRPr="00000000" w:rsidDel="00000000">
      <w:pPr>
        <w:pStyle w:val="Heading2"/>
        <w:contextualSpacing w:val="0"/>
      </w:pPr>
      <w:r w:rsidR="00000000" w:rsidRPr="00000000" w:rsidDel="00000000">
        <w:rPr>
          <w:rStyle w:val="Heading2"/>
          <w:rtl w:val="0"/>
        </w:rPr>
        <w:t xml:space="preserve">2029. Which patient reported outcomes (PROs) and patient reported outcome measures (PROMs) do researchers select in stress urinary incontinence surgical trials? - a systematic review</w:t>
      </w:r>
    </w:p>
    <w:p w:rsidP="00000000" w:rsidRDefault="00000000" w:rsidR="00000000" w:rsidRPr="00000000" w:rsidDel="00000000">
      <w:pPr>
        <w:contextualSpacing w:val="0"/>
        <w:rPr>
          <w:b w:val="1"/>
          <w:rtl w:val="0"/>
        </w:rPr>
      </w:pPr>
      <w:r w:rsidR="00000000" w:rsidRPr="00000000" w:rsidDel="00000000">
        <w:rPr>
          <w:b w:val="1"/>
          <w:rtl w:val="0"/>
        </w:rPr>
        <w:t xml:space="preserve">authors:</w:t>
      </w:r>
    </w:p>
    <w:p w:rsidP="00000000" w:rsidRDefault="00000000" w:rsidR="00000000" w:rsidRPr="00000000" w:rsidDel="00000000">
      <w:pPr>
        <w:contextualSpacing w:val="0"/>
      </w:pPr>
      <w:r w:rsidR="00000000" w:rsidRPr="00000000" w:rsidDel="00000000">
        <w:rPr>
          <w:rtl w:val="0"/>
        </w:rPr>
        <w:t xml:space="preserve">Loganathan, J., Coffey, J., Doumouchtsis, S. K.</w:t>
      </w:r>
    </w:p>
    <w:p w:rsidP="00000000" w:rsidRDefault="00000000" w:rsidR="00000000" w:rsidRPr="00000000" w:rsidDel="00000000">
      <w:pPr>
        <w:contextualSpacing w:val="0"/>
        <w:rPr>
          <w:b w:val="1"/>
          <w:rtl w:val="0"/>
        </w:rPr>
      </w:pPr>
      <w:r w:rsidR="00000000" w:rsidRPr="00000000" w:rsidDel="00000000">
        <w:rPr>
          <w:b w:val="1"/>
          <w:rtl w:val="0"/>
        </w:rPr>
        <w:t xml:space="preserve">doi:</w:t>
      </w:r>
    </w:p>
    <w:p w:rsidP="00000000" w:rsidRDefault="00000000" w:rsidR="00000000" w:rsidRPr="00000000" w:rsidDel="00000000">
      <w:pPr>
        <w:contextualSpacing w:val="0"/>
      </w:pPr>
      <w:r w:rsidR="00000000" w:rsidRPr="00000000" w:rsidDel="00000000">
        <w:rPr>
          <w:rtl w:val="0"/>
        </w:rPr>
        <w:t xml:space="preserve">10.1007/s00192-022-05123-7</w:t>
      </w:r>
    </w:p>
    <w:p w:rsidP="00000000" w:rsidRDefault="00000000" w:rsidR="00000000" w:rsidRPr="00000000" w:rsidDel="00000000">
      <w:pPr>
        <w:contextualSpacing w:val="0"/>
        <w:rPr>
          <w:b w:val="1"/>
          <w:rtl w:val="0"/>
        </w:rPr>
      </w:pPr>
      <w:r w:rsidR="00000000" w:rsidRPr="00000000" w:rsidDel="00000000">
        <w:rPr>
          <w:b w:val="1"/>
          <w:rtl w:val="0"/>
        </w:rPr>
        <w:t xml:space="preserve">abstract:</w:t>
      </w:r>
    </w:p>
    <w:p w:rsidP="00000000" w:rsidRDefault="00000000" w:rsidR="00000000" w:rsidRPr="00000000" w:rsidDel="00000000">
      <w:pPr>
        <w:contextualSpacing w:val="0"/>
      </w:pPr>
      <w:r w:rsidR="00000000" w:rsidRPr="00000000" w:rsidDel="00000000">
        <w:rPr>
          <w:rtl w:val="0"/>
        </w:rPr>
        <w:t xml:space="preserve">INTRODUCTION AND HYPOTHESIS: The mesh controversy has highlighted the need for robust evidence of treatment safety and efficacy, particularly in the surgical treatment of stress urinary incontinence (SUI). Current trials demonstrate heterogeneity in outcomes reported as well as outcome measures used, restricting the ability to synthesize data and produce robust research evidence (Doumouchtsis et al. 5). Patient-reported outcomes (PROs) should be a focus when evaluating SUI surgery given the quality-of-life nature of this condition affecting 25-45% women worldwide (Milsom and Gyhagen 1). As part of the first step in developing a core outcome set (COS) and measures set (COMS), we aimed to systematically review RCTs evaluating SUI surgery and extract PROs and outcome measures (PROMs) used. MATERIALS AND METHODS: We searched databases including MEDLINE and Cochrane for RCTs evaluating SUI surgical treatments from inception to January 2020. Eligibility criteria included English language and female-only subjects. PROs and PROMs were extracted and grouped into a structured inventory. PROMs were assigned to domains based on predominant theme. RESULTS: Of 123 eligible RCTs, 116 (94%) included PROs. Forty-four different PROMs were utilized; most frequent was Patient Global Impression of Improvement (PGI-I). Fifteen PROMs were used once. The top five PROMs have evidence of validity and are highly recommended. CONCLUSIONS: There is no consensus amongst relevant stakeholders regarding PROs or PROMs used in SUI surgery research. We propose that this consensus is required to standardize measurements and reporting and promote use of validated and reliable outcome measures. This systematic review forms the first step in the development process.</w:t>
      </w:r>
    </w:p>
    <w:p w:rsidP="00000000" w:rsidRDefault="00000000" w:rsidR="00000000" w:rsidRPr="00000000" w:rsidDel="00000000">
      <w:pPr>
        <w:contextualSpacing w:val="0"/>
        <w:rPr>
          <w:b w:val="1"/>
          <w:rtl w:val="0"/>
        </w:rPr>
      </w:pPr>
      <w:r w:rsidR="00000000" w:rsidRPr="00000000" w:rsidDel="00000000">
        <w:rPr>
          <w:b w:val="1"/>
          <w:rtl w:val="0"/>
        </w:rPr>
        <w:t xml:space="preserve">journal:</w:t>
      </w:r>
    </w:p>
    <w:p w:rsidP="00000000" w:rsidRDefault="00000000" w:rsidR="00000000" w:rsidRPr="00000000" w:rsidDel="00000000">
      <w:pPr>
        <w:contextualSpacing w:val="0"/>
      </w:pPr>
      <w:r w:rsidR="00000000" w:rsidRPr="00000000" w:rsidDel="00000000">
        <w:rPr>
          <w:rtl w:val="0"/>
        </w:rPr>
        <w:t xml:space="preserve">Int Urogynecol J</w:t>
      </w:r>
    </w:p>
    <w:p w:rsidP="00000000" w:rsidRDefault="00000000" w:rsidR="00000000" w:rsidRPr="00000000" w:rsidDel="00000000">
      <w:pPr>
        <w:contextualSpacing w:val="0"/>
        <w:rPr>
          <w:b w:val="1"/>
          <w:rtl w:val="0"/>
        </w:rPr>
      </w:pPr>
      <w:r w:rsidR="00000000" w:rsidRPr="00000000" w:rsidDel="00000000">
        <w:rPr>
          <w:b w:val="1"/>
          <w:rtl w:val="0"/>
        </w:rPr>
        <w:t xml:space="preserve">issue:</w:t>
      </w:r>
    </w:p>
    <w:p w:rsidP="00000000" w:rsidRDefault="00000000" w:rsidR="00000000" w:rsidRPr="00000000" w:rsidDel="00000000">
      <w:pPr>
        <w:contextualSpacing w:val="0"/>
      </w:pPr>
      <w:r w:rsidR="00000000" w:rsidRPr="00000000" w:rsidDel="00000000">
        <w:rPr>
          <w:rtl w:val="0"/>
        </w:rPr>
        <w:t xml:space="preserve"/>
      </w:r>
    </w:p>
    <w:p w:rsidP="00000000" w:rsidRDefault="00000000" w:rsidR="00000000" w:rsidRPr="00000000" w:rsidDel="00000000">
      <w:pPr>
        <w:pStyle w:val="Heading2"/>
        <w:contextualSpacing w:val="0"/>
      </w:pPr>
      <w:r w:rsidR="00000000" w:rsidRPr="00000000" w:rsidDel="00000000">
        <w:rPr>
          <w:rStyle w:val="Heading2"/>
          <w:rtl w:val="0"/>
        </w:rPr>
        <w:t xml:space="preserve">387. Which quality of life score is best for glaucoma patients and why?</w:t>
      </w:r>
    </w:p>
    <w:p w:rsidP="00000000" w:rsidRDefault="00000000" w:rsidR="00000000" w:rsidRPr="00000000" w:rsidDel="00000000">
      <w:pPr>
        <w:contextualSpacing w:val="0"/>
        <w:rPr>
          <w:b w:val="1"/>
          <w:rtl w:val="0"/>
        </w:rPr>
      </w:pPr>
      <w:r w:rsidR="00000000" w:rsidRPr="00000000" w:rsidDel="00000000">
        <w:rPr>
          <w:b w:val="1"/>
          <w:rtl w:val="0"/>
        </w:rPr>
        <w:t xml:space="preserve">authors:</w:t>
      </w:r>
    </w:p>
    <w:p w:rsidP="00000000" w:rsidRDefault="00000000" w:rsidR="00000000" w:rsidRPr="00000000" w:rsidDel="00000000">
      <w:pPr>
        <w:contextualSpacing w:val="0"/>
      </w:pPr>
      <w:r w:rsidR="00000000" w:rsidRPr="00000000" w:rsidDel="00000000">
        <w:rPr>
          <w:rtl w:val="0"/>
        </w:rPr>
        <w:t xml:space="preserve">Severn, P., Fraser, S., Finch, T., May, C.</w:t>
      </w:r>
    </w:p>
    <w:p w:rsidP="00000000" w:rsidRDefault="00000000" w:rsidR="00000000" w:rsidRPr="00000000" w:rsidDel="00000000">
      <w:pPr>
        <w:contextualSpacing w:val="0"/>
        <w:rPr>
          <w:b w:val="1"/>
          <w:rtl w:val="0"/>
        </w:rPr>
      </w:pPr>
      <w:r w:rsidR="00000000" w:rsidRPr="00000000" w:rsidDel="00000000">
        <w:rPr>
          <w:b w:val="1"/>
          <w:rtl w:val="0"/>
        </w:rPr>
        <w:t xml:space="preserve">doi:</w:t>
      </w:r>
    </w:p>
    <w:p w:rsidP="00000000" w:rsidRDefault="00000000" w:rsidR="00000000" w:rsidRPr="00000000" w:rsidDel="00000000">
      <w:pPr>
        <w:contextualSpacing w:val="0"/>
      </w:pPr>
      <w:r w:rsidR="00000000" w:rsidRPr="00000000" w:rsidDel="00000000">
        <w:rPr>
          <w:rtl w:val="0"/>
        </w:rPr>
        <w:t xml:space="preserve"/>
      </w:r>
    </w:p>
    <w:p w:rsidP="00000000" w:rsidRDefault="00000000" w:rsidR="00000000" w:rsidRPr="00000000" w:rsidDel="00000000">
      <w:pPr>
        <w:contextualSpacing w:val="0"/>
        <w:rPr>
          <w:b w:val="1"/>
          <w:rtl w:val="0"/>
        </w:rPr>
      </w:pPr>
      <w:r w:rsidR="00000000" w:rsidRPr="00000000" w:rsidDel="00000000">
        <w:rPr>
          <w:b w:val="1"/>
          <w:rtl w:val="0"/>
        </w:rPr>
        <w:t xml:space="preserve">abstract:</w:t>
      </w:r>
    </w:p>
    <w:p w:rsidP="00000000" w:rsidRDefault="00000000" w:rsidR="00000000" w:rsidRPr="00000000" w:rsidDel="00000000">
      <w:pPr>
        <w:contextualSpacing w:val="0"/>
      </w:pPr>
      <w:r w:rsidR="00000000" w:rsidRPr="00000000" w:rsidDel="00000000">
        <w:rPr>
          <w:rtl w:val="0"/>
        </w:rPr>
        <w:t xml:space="preserve">BACKGROUND: The glaucomas are generally asymptomatic diseases until they are very advanced. They affect 2% of the population over 40 years of age and therefore represent a significant public health issue. There have been a number of attempts to develop quality of life scales for the disease. This review discusses the pros and cons of these scales and suggests the best of the current ones for use in a clinical setting. METHODS: Medline, Embase and Google Scholar were searched for relevant articles. No time period was defined and all types of article were included. RESULTS: 11 Quality of Life scores were identified that have been used with glaucoma patients. CONCLUSION: There is no generally accepted 'best' Quality of Life instrument for use in glaucoma. Many of the scales are biased towards physical symptoms and do little to address the personal or social factors of the disease. Further work is needed to produce scales that address all these areas as well as being simple to administer in a clinical setting</w:t>
      </w:r>
    </w:p>
    <w:p w:rsidP="00000000" w:rsidRDefault="00000000" w:rsidR="00000000" w:rsidRPr="00000000" w:rsidDel="00000000">
      <w:pPr>
        <w:contextualSpacing w:val="0"/>
        <w:rPr>
          <w:b w:val="1"/>
          <w:rtl w:val="0"/>
        </w:rPr>
      </w:pPr>
      <w:r w:rsidR="00000000" w:rsidRPr="00000000" w:rsidDel="00000000">
        <w:rPr>
          <w:b w:val="1"/>
          <w:rtl w:val="0"/>
        </w:rPr>
        <w:t xml:space="preserve">journal:</w:t>
      </w:r>
    </w:p>
    <w:p w:rsidP="00000000" w:rsidRDefault="00000000" w:rsidR="00000000" w:rsidRPr="00000000" w:rsidDel="00000000">
      <w:pPr>
        <w:contextualSpacing w:val="0"/>
      </w:pPr>
      <w:r w:rsidR="00000000" w:rsidRPr="00000000" w:rsidDel="00000000">
        <w:rPr>
          <w:rtl w:val="0"/>
        </w:rPr>
        <w:t xml:space="preserve">BMC Ophthalmol.</w:t>
      </w:r>
    </w:p>
    <w:p w:rsidP="00000000" w:rsidRDefault="00000000" w:rsidR="00000000" w:rsidRPr="00000000" w:rsidDel="00000000">
      <w:pPr>
        <w:contextualSpacing w:val="0"/>
        <w:rPr>
          <w:b w:val="1"/>
          <w:rtl w:val="0"/>
        </w:rPr>
      </w:pPr>
      <w:r w:rsidR="00000000" w:rsidRPr="00000000" w:rsidDel="00000000">
        <w:rPr>
          <w:b w:val="1"/>
          <w:rtl w:val="0"/>
        </w:rPr>
        <w:t xml:space="preserve">issue:</w:t>
      </w:r>
    </w:p>
    <w:p w:rsidP="00000000" w:rsidRDefault="00000000" w:rsidR="00000000" w:rsidRPr="00000000" w:rsidDel="00000000">
      <w:pPr>
        <w:contextualSpacing w:val="0"/>
      </w:pPr>
      <w:r w:rsidR="00000000" w:rsidRPr="00000000" w:rsidDel="00000000">
        <w:rPr>
          <w:rtl w:val="0"/>
        </w:rPr>
        <w:t xml:space="preserve"/>
      </w:r>
    </w:p>
    <w:p w:rsidP="00000000" w:rsidRDefault="00000000" w:rsidR="00000000" w:rsidRPr="00000000" w:rsidDel="00000000">
      <w:pPr>
        <w:pStyle w:val="Heading2"/>
        <w:contextualSpacing w:val="0"/>
      </w:pPr>
      <w:r w:rsidR="00000000" w:rsidRPr="00000000" w:rsidDel="00000000">
        <w:rPr>
          <w:rStyle w:val="Heading2"/>
          <w:rtl w:val="0"/>
        </w:rPr>
        <w:t xml:space="preserve">143. Which symptom assessments and approaches are uniquely appropriate for paediatric concussion?</w:t>
      </w:r>
    </w:p>
    <w:p w:rsidP="00000000" w:rsidRDefault="00000000" w:rsidR="00000000" w:rsidRPr="00000000" w:rsidDel="00000000">
      <w:pPr>
        <w:contextualSpacing w:val="0"/>
        <w:rPr>
          <w:b w:val="1"/>
          <w:rtl w:val="0"/>
        </w:rPr>
      </w:pPr>
      <w:r w:rsidR="00000000" w:rsidRPr="00000000" w:rsidDel="00000000">
        <w:rPr>
          <w:b w:val="1"/>
          <w:rtl w:val="0"/>
        </w:rPr>
        <w:t xml:space="preserve">authors:</w:t>
      </w:r>
    </w:p>
    <w:p w:rsidP="00000000" w:rsidRDefault="00000000" w:rsidR="00000000" w:rsidRPr="00000000" w:rsidDel="00000000">
      <w:pPr>
        <w:contextualSpacing w:val="0"/>
      </w:pPr>
      <w:r w:rsidR="00000000" w:rsidRPr="00000000" w:rsidDel="00000000">
        <w:rPr>
          <w:rtl w:val="0"/>
        </w:rPr>
        <w:t xml:space="preserve">Gioia, G. A., Schneider, J. C., Vaughan, C. G., Isquith, P. K.</w:t>
      </w:r>
    </w:p>
    <w:p w:rsidP="00000000" w:rsidRDefault="00000000" w:rsidR="00000000" w:rsidRPr="00000000" w:rsidDel="00000000">
      <w:pPr>
        <w:contextualSpacing w:val="0"/>
        <w:rPr>
          <w:b w:val="1"/>
          <w:rtl w:val="0"/>
        </w:rPr>
      </w:pPr>
      <w:r w:rsidR="00000000" w:rsidRPr="00000000" w:rsidDel="00000000">
        <w:rPr>
          <w:b w:val="1"/>
          <w:rtl w:val="0"/>
        </w:rPr>
        <w:t xml:space="preserve">doi:</w:t>
      </w:r>
    </w:p>
    <w:p w:rsidP="00000000" w:rsidRDefault="00000000" w:rsidR="00000000" w:rsidRPr="00000000" w:rsidDel="00000000">
      <w:pPr>
        <w:contextualSpacing w:val="0"/>
      </w:pPr>
      <w:r w:rsidR="00000000" w:rsidRPr="00000000" w:rsidDel="00000000">
        <w:rPr>
          <w:rtl w:val="0"/>
        </w:rPr>
        <w:t xml:space="preserve"/>
      </w:r>
    </w:p>
    <w:p w:rsidP="00000000" w:rsidRDefault="00000000" w:rsidR="00000000" w:rsidRPr="00000000" w:rsidDel="00000000">
      <w:pPr>
        <w:contextualSpacing w:val="0"/>
        <w:rPr>
          <w:b w:val="1"/>
          <w:rtl w:val="0"/>
        </w:rPr>
      </w:pPr>
      <w:r w:rsidR="00000000" w:rsidRPr="00000000" w:rsidDel="00000000">
        <w:rPr>
          <w:b w:val="1"/>
          <w:rtl w:val="0"/>
        </w:rPr>
        <w:t xml:space="preserve">abstract:</w:t>
      </w:r>
    </w:p>
    <w:p w:rsidP="00000000" w:rsidRDefault="00000000" w:rsidR="00000000" w:rsidRPr="00000000" w:rsidDel="00000000">
      <w:pPr>
        <w:contextualSpacing w:val="0"/>
      </w:pPr>
      <w:r w:rsidR="00000000" w:rsidRPr="00000000" w:rsidDel="00000000">
        <w:rPr>
          <w:rtl w:val="0"/>
        </w:rPr>
        <w:t xml:space="preserve">OBJECTIVE: To (a) identify post-concussion symptom scales appropriate for children and adolescents in sports; (b) review evidence for reliability and validity; and (c) recommend future directions for scale development. DESIGN: Quantitative and qualitative literature review of symptom rating scales appropriate for children and adolescents aged 5 to 22 years. INTERVENTION: Literature identified via search of Medline, Ovid-Medline and PsycInfo databases; review of reference lists in identified articles; querying sports concussion specialists. 29 articles met study inclusion criteria. RESULTS: 5 symptom scales examined in 11 studies for ages 5-12 years and in 25 studies for ages 13-22. 10 of 11 studies for 5-12-year-olds presented validity evidence for three scales; 7 studies provided reliability evidence for two scales; 7 studies used serial administrations but no reliable change metrics. Two scales included parent-reports and one included a teacher report. 24 of 25 studies for 13-22 year-olds presented validity evidence for five measures; seven studies provided reliability evidence for four measures with 18 studies including serial administrations and two examining Reliable Change. CONCLUSIONS: Psychometric evidence for symptom scales is stronger for adolescents than for younger children. Most scales provide evidence of concurrent validity, discriminating concussed and non-concussed groups. Few report reliability and evidence for validity is narrow. Two measures include parent/teacher reports. Few scales examine reliable change statistics, limiting interpretability of temporal changes. Future studies are needed to fully define symptom scale psychometric properties with the greatest need in younger student-athletes</w:t>
      </w:r>
    </w:p>
    <w:p w:rsidP="00000000" w:rsidRDefault="00000000" w:rsidR="00000000" w:rsidRPr="00000000" w:rsidDel="00000000">
      <w:pPr>
        <w:contextualSpacing w:val="0"/>
        <w:rPr>
          <w:b w:val="1"/>
          <w:rtl w:val="0"/>
        </w:rPr>
      </w:pPr>
      <w:r w:rsidR="00000000" w:rsidRPr="00000000" w:rsidDel="00000000">
        <w:rPr>
          <w:b w:val="1"/>
          <w:rtl w:val="0"/>
        </w:rPr>
        <w:t xml:space="preserve">journal:</w:t>
      </w:r>
    </w:p>
    <w:p w:rsidP="00000000" w:rsidRDefault="00000000" w:rsidR="00000000" w:rsidRPr="00000000" w:rsidDel="00000000">
      <w:pPr>
        <w:contextualSpacing w:val="0"/>
      </w:pPr>
      <w:r w:rsidR="00000000" w:rsidRPr="00000000" w:rsidDel="00000000">
        <w:rPr>
          <w:rtl w:val="0"/>
        </w:rPr>
        <w:t xml:space="preserve">Br J Sports Med</w:t>
      </w:r>
    </w:p>
    <w:p w:rsidP="00000000" w:rsidRDefault="00000000" w:rsidR="00000000" w:rsidRPr="00000000" w:rsidDel="00000000">
      <w:pPr>
        <w:contextualSpacing w:val="0"/>
        <w:rPr>
          <w:b w:val="1"/>
          <w:rtl w:val="0"/>
        </w:rPr>
      </w:pPr>
      <w:r w:rsidR="00000000" w:rsidRPr="00000000" w:rsidDel="00000000">
        <w:rPr>
          <w:b w:val="1"/>
          <w:rtl w:val="0"/>
        </w:rPr>
        <w:t xml:space="preserve">issue:</w:t>
      </w:r>
    </w:p>
    <w:p w:rsidP="00000000" w:rsidRDefault="00000000" w:rsidR="00000000" w:rsidRPr="00000000" w:rsidDel="00000000">
      <w:pPr>
        <w:contextualSpacing w:val="0"/>
      </w:pPr>
      <w:r w:rsidR="00000000" w:rsidRPr="00000000" w:rsidDel="00000000">
        <w:rPr>
          <w:rtl w:val="0"/>
        </w:rPr>
        <w:t xml:space="preserve"/>
      </w:r>
    </w:p>
    <w:p w:rsidP="00000000" w:rsidRDefault="00000000" w:rsidR="00000000" w:rsidRPr="00000000" w:rsidDel="00000000">
      <w:pPr>
        <w:pStyle w:val="Heading2"/>
        <w:contextualSpacing w:val="0"/>
      </w:pPr>
      <w:r w:rsidR="00000000" w:rsidRPr="00000000" w:rsidDel="00000000">
        <w:rPr>
          <w:rStyle w:val="Heading2"/>
          <w:rtl w:val="0"/>
        </w:rPr>
        <w:t xml:space="preserve">3168. Who is the PROM King? Patient-reported Outcome Measures in Pediatric Musculoskeletal Oncology: A Systematic Review</w:t>
      </w:r>
    </w:p>
    <w:p w:rsidP="00000000" w:rsidRDefault="00000000" w:rsidR="00000000" w:rsidRPr="00000000" w:rsidDel="00000000">
      <w:pPr>
        <w:contextualSpacing w:val="0"/>
        <w:rPr>
          <w:b w:val="1"/>
          <w:rtl w:val="0"/>
        </w:rPr>
      </w:pPr>
      <w:r w:rsidR="00000000" w:rsidRPr="00000000" w:rsidDel="00000000">
        <w:rPr>
          <w:b w:val="1"/>
          <w:rtl w:val="0"/>
        </w:rPr>
        <w:t xml:space="preserve">authors:</w:t>
      </w:r>
    </w:p>
    <w:p w:rsidP="00000000" w:rsidRDefault="00000000" w:rsidR="00000000" w:rsidRPr="00000000" w:rsidDel="00000000">
      <w:pPr>
        <w:contextualSpacing w:val="0"/>
      </w:pPr>
      <w:r w:rsidR="00000000" w:rsidRPr="00000000" w:rsidDel="00000000">
        <w:rPr>
          <w:rtl w:val="0"/>
        </w:rPr>
        <w:t xml:space="preserve">Baghdadi, S., Van Eenenaam, D., Jr., Talwar, D., Arkader, A.</w:t>
      </w:r>
    </w:p>
    <w:p w:rsidP="00000000" w:rsidRDefault="00000000" w:rsidR="00000000" w:rsidRPr="00000000" w:rsidDel="00000000">
      <w:pPr>
        <w:contextualSpacing w:val="0"/>
        <w:rPr>
          <w:b w:val="1"/>
          <w:rtl w:val="0"/>
        </w:rPr>
      </w:pPr>
      <w:r w:rsidR="00000000" w:rsidRPr="00000000" w:rsidDel="00000000">
        <w:rPr>
          <w:b w:val="1"/>
          <w:rtl w:val="0"/>
        </w:rPr>
        <w:t xml:space="preserve">doi:</w:t>
      </w:r>
    </w:p>
    <w:p w:rsidP="00000000" w:rsidRDefault="00000000" w:rsidR="00000000" w:rsidRPr="00000000" w:rsidDel="00000000">
      <w:pPr>
        <w:contextualSpacing w:val="0"/>
      </w:pPr>
      <w:r w:rsidR="00000000" w:rsidRPr="00000000" w:rsidDel="00000000">
        <w:rPr>
          <w:rtl w:val="0"/>
        </w:rPr>
        <w:t xml:space="preserve">10.1097/bpo.0000000000002874</w:t>
      </w:r>
    </w:p>
    <w:p w:rsidP="00000000" w:rsidRDefault="00000000" w:rsidR="00000000" w:rsidRPr="00000000" w:rsidDel="00000000">
      <w:pPr>
        <w:contextualSpacing w:val="0"/>
        <w:rPr>
          <w:b w:val="1"/>
          <w:rtl w:val="0"/>
        </w:rPr>
      </w:pPr>
      <w:r w:rsidR="00000000" w:rsidRPr="00000000" w:rsidDel="00000000">
        <w:rPr>
          <w:b w:val="1"/>
          <w:rtl w:val="0"/>
        </w:rPr>
        <w:t xml:space="preserve">abstract:</w:t>
      </w:r>
    </w:p>
    <w:p w:rsidP="00000000" w:rsidRDefault="00000000" w:rsidR="00000000" w:rsidRPr="00000000" w:rsidDel="00000000">
      <w:pPr>
        <w:contextualSpacing w:val="0"/>
      </w:pPr>
      <w:r w:rsidR="00000000" w:rsidRPr="00000000" w:rsidDel="00000000">
        <w:rPr>
          <w:rtl w:val="0"/>
        </w:rPr>
        <w:t xml:space="preserve">BACKGROUND: Patient-reported outcome measures (PROMs) are important companions to traditional, physician-reported measures. The purpose of this study was to systematically review and identify PROMs used in pediatric musculoskeletal oncology and evaluate these instruments. METHODS: A systematic literature review was conducted for studies pertaining to pediatric musculoskeletal tumors from 2010 to 2024. Two experts selected eligible papers for inclusion through a systematic approach. PROMs used in the eligible papers were cataloged, and the top 10 most frequently used instruments were evaluated with Evaluating Measures of Patient-Reported Outcomes (EMPRO), which is a standardized evaluation tool for PROs. RESULTS: A total of 316 publications were included in the final analysis, reporting a total of 82 unique PROMs. Of the papers, 24% reported no PROMs, whereas 67% of the instruments were only reported once. Nine out of the 10 top PROMs scored over 50 on EMPRO, meeting the minimum acceptable criteria. Musculoskeletal Tumor Society, Toronto Extremity Salvage Score, Disabilities of the Arm, Shoulder, and Hand (DASH), and Quick DASH were disease-specific instruments scoring high on EMPRO. Short Form-36, Pediatric Quality of Life Questionnaire, Quality of Life Questionnaire-30, BSI-18, and TNO AZL Child Quality Of Life met the requirements in the general instruments. Short Form-12 was the lowest-scored PROM. CONCLUSIONS: Our results show minimal consensus on the ideal PROM in pediatric musculoskeletal oncology. We recommend using instruments that are already in widespread use instead of obscure PROMs, which defy the purpose of reporting outcomes from a patient perspective. All 4 disease-specific instruments scored highly and are already widely used, including Musculoskeletal Tumor Society, Toronto Extremity Salvage Score, DASH, and Quick DASH. However, we found no consensus on general instruments. With the development and increasing popularity of Patient-Reported Outcomes Measurement Information System, it may replace other general instruments that are proprietary, unreliable, or not developed with pediatric patients in mind. LEVEL OF EVIDENCE: Level IV-systematic review of level II to IV studies.</w:t>
      </w:r>
    </w:p>
    <w:p w:rsidP="00000000" w:rsidRDefault="00000000" w:rsidR="00000000" w:rsidRPr="00000000" w:rsidDel="00000000">
      <w:pPr>
        <w:contextualSpacing w:val="0"/>
        <w:rPr>
          <w:b w:val="1"/>
          <w:rtl w:val="0"/>
        </w:rPr>
      </w:pPr>
      <w:r w:rsidR="00000000" w:rsidRPr="00000000" w:rsidDel="00000000">
        <w:rPr>
          <w:b w:val="1"/>
          <w:rtl w:val="0"/>
        </w:rPr>
        <w:t xml:space="preserve">journal:</w:t>
      </w:r>
    </w:p>
    <w:p w:rsidP="00000000" w:rsidRDefault="00000000" w:rsidR="00000000" w:rsidRPr="00000000" w:rsidDel="00000000">
      <w:pPr>
        <w:contextualSpacing w:val="0"/>
      </w:pPr>
      <w:r w:rsidR="00000000" w:rsidRPr="00000000" w:rsidDel="00000000">
        <w:rPr>
          <w:rtl w:val="0"/>
        </w:rPr>
        <w:t xml:space="preserve">J Pediatr Orthop</w:t>
      </w:r>
    </w:p>
    <w:p w:rsidP="00000000" w:rsidRDefault="00000000" w:rsidR="00000000" w:rsidRPr="00000000" w:rsidDel="00000000">
      <w:pPr>
        <w:contextualSpacing w:val="0"/>
        <w:rPr>
          <w:b w:val="1"/>
          <w:rtl w:val="0"/>
        </w:rPr>
      </w:pPr>
      <w:r w:rsidR="00000000" w:rsidRPr="00000000" w:rsidDel="00000000">
        <w:rPr>
          <w:b w:val="1"/>
          <w:rtl w:val="0"/>
        </w:rPr>
        <w:t xml:space="preserve">issue:</w:t>
      </w:r>
    </w:p>
    <w:p w:rsidP="00000000" w:rsidRDefault="00000000" w:rsidR="00000000" w:rsidRPr="00000000" w:rsidDel="00000000">
      <w:pPr>
        <w:contextualSpacing w:val="0"/>
      </w:pPr>
      <w:r w:rsidR="00000000" w:rsidRPr="00000000" w:rsidDel="00000000">
        <w:rPr>
          <w:rtl w:val="0"/>
        </w:rPr>
        <w:t xml:space="preserve">4</w:t>
      </w:r>
    </w:p>
    <w:p w:rsidP="00000000" w:rsidRDefault="00000000" w:rsidR="00000000" w:rsidRPr="00000000" w:rsidDel="00000000">
      <w:pPr>
        <w:pStyle w:val="Heading2"/>
        <w:contextualSpacing w:val="0"/>
      </w:pPr>
      <w:r w:rsidR="00000000" w:rsidRPr="00000000" w:rsidDel="00000000">
        <w:rPr>
          <w:rStyle w:val="Heading2"/>
          <w:rtl w:val="0"/>
        </w:rPr>
        <w:t xml:space="preserve">946. Work disability among workers with osteoarthritis of the knee: risks factors, assessment scales, and interventions</w:t>
      </w:r>
    </w:p>
    <w:p w:rsidP="00000000" w:rsidRDefault="00000000" w:rsidR="00000000" w:rsidRPr="00000000" w:rsidDel="00000000">
      <w:pPr>
        <w:contextualSpacing w:val="0"/>
        <w:rPr>
          <w:b w:val="1"/>
          <w:rtl w:val="0"/>
        </w:rPr>
      </w:pPr>
      <w:r w:rsidR="00000000" w:rsidRPr="00000000" w:rsidDel="00000000">
        <w:rPr>
          <w:b w:val="1"/>
          <w:rtl w:val="0"/>
        </w:rPr>
        <w:t xml:space="preserve">authors:</w:t>
      </w:r>
    </w:p>
    <w:p w:rsidP="00000000" w:rsidRDefault="00000000" w:rsidR="00000000" w:rsidRPr="00000000" w:rsidDel="00000000">
      <w:pPr>
        <w:contextualSpacing w:val="0"/>
      </w:pPr>
      <w:r w:rsidR="00000000" w:rsidRPr="00000000" w:rsidDel="00000000">
        <w:rPr>
          <w:rtl w:val="0"/>
        </w:rPr>
        <w:t xml:space="preserve">Gaudreault, Nathaly, Maillette, Pascale, Coutu, Marie France, Durand, Marie Jose, Hagemeister, Nicola, Hebert, Luc J.</w:t>
      </w:r>
    </w:p>
    <w:p w:rsidP="00000000" w:rsidRDefault="00000000" w:rsidR="00000000" w:rsidRPr="00000000" w:rsidDel="00000000">
      <w:pPr>
        <w:contextualSpacing w:val="0"/>
        <w:rPr>
          <w:b w:val="1"/>
          <w:rtl w:val="0"/>
        </w:rPr>
      </w:pPr>
      <w:r w:rsidR="00000000" w:rsidRPr="00000000" w:rsidDel="00000000">
        <w:rPr>
          <w:b w:val="1"/>
          <w:rtl w:val="0"/>
        </w:rPr>
        <w:t xml:space="preserve">doi:</w:t>
      </w:r>
    </w:p>
    <w:p w:rsidP="00000000" w:rsidRDefault="00000000" w:rsidR="00000000" w:rsidRPr="00000000" w:rsidDel="00000000">
      <w:pPr>
        <w:contextualSpacing w:val="0"/>
      </w:pPr>
      <w:r w:rsidR="00000000" w:rsidRPr="00000000" w:rsidDel="00000000">
        <w:rPr>
          <w:rtl w:val="0"/>
        </w:rPr>
        <w:t xml:space="preserve"/>
      </w:r>
    </w:p>
    <w:p w:rsidP="00000000" w:rsidRDefault="00000000" w:rsidR="00000000" w:rsidRPr="00000000" w:rsidDel="00000000">
      <w:pPr>
        <w:contextualSpacing w:val="0"/>
        <w:rPr>
          <w:b w:val="1"/>
          <w:rtl w:val="0"/>
        </w:rPr>
      </w:pPr>
      <w:r w:rsidR="00000000" w:rsidRPr="00000000" w:rsidDel="00000000">
        <w:rPr>
          <w:b w:val="1"/>
          <w:rtl w:val="0"/>
        </w:rPr>
        <w:t xml:space="preserve">abstract:</w:t>
      </w:r>
    </w:p>
    <w:p w:rsidP="00000000" w:rsidRDefault="00000000" w:rsidR="00000000" w:rsidRPr="00000000" w:rsidDel="00000000">
      <w:pPr>
        <w:contextualSpacing w:val="0"/>
      </w:pPr>
      <w:r w:rsidR="00000000" w:rsidRPr="00000000" w:rsidDel="00000000">
        <w:rPr>
          <w:rtl w:val="0"/>
        </w:rPr>
        <w:t xml:space="preserve">The prevalence of knee osteoarthritis (OA) among individuals active in the workforce will increase considerably in the next generation and a significant percentage of these individuals are expected to experience work disability because of this disease. The aim of this review was to summarize the existing knowledge on the following: (a) work disability risk factors; (b) reliable and valid work disability assessment tools; and (c) efficient interventions to reduce work disability in individuals with knee OA. An electronic document search using key words and MeSH terms was performed with various databases. Two independent investigators were tasked with the screening of articles and quality assessment. A critical appraisal of what is known was performed and recommendations for clinical practice and future research were formulated. The database search yielded 61 references. One article on risk factors, three related to assessment tools, and two on interventions were retained. Age and previous work absence episodes were found to be risk factors of workplace disability. The Work Limitation Questionnaire, the Work Instability Scale for Rheumatoid Arthritis, and the Workplace Activity Limitations Scale were psychometrically sound for the population studied. Education-based interventions seem to be more effective than conventional interventions in helping individuals with knee OA return to work faster, reduce the number of days absent from work, and improve their overall well-being. This review is the first to summarize the evidence on work disability risk factors, assessment tools, and interventions for this growing population and to show a critical gap in the existing knowledge</w:t>
      </w:r>
    </w:p>
    <w:p w:rsidP="00000000" w:rsidRDefault="00000000" w:rsidR="00000000" w:rsidRPr="00000000" w:rsidDel="00000000">
      <w:pPr>
        <w:contextualSpacing w:val="0"/>
        <w:rPr>
          <w:b w:val="1"/>
          <w:rtl w:val="0"/>
        </w:rPr>
      </w:pPr>
      <w:r w:rsidR="00000000" w:rsidRPr="00000000" w:rsidDel="00000000">
        <w:rPr>
          <w:b w:val="1"/>
          <w:rtl w:val="0"/>
        </w:rPr>
        <w:t xml:space="preserve">journal:</w:t>
      </w:r>
    </w:p>
    <w:p w:rsidP="00000000" w:rsidRDefault="00000000" w:rsidR="00000000" w:rsidRPr="00000000" w:rsidDel="00000000">
      <w:pPr>
        <w:contextualSpacing w:val="0"/>
      </w:pPr>
      <w:r w:rsidR="00000000" w:rsidRPr="00000000" w:rsidDel="00000000">
        <w:rPr>
          <w:rtl w:val="0"/>
        </w:rPr>
        <w:t xml:space="preserve">Int. J. Rehabil. Res</w:t>
      </w:r>
    </w:p>
    <w:p w:rsidP="00000000" w:rsidRDefault="00000000" w:rsidR="00000000" w:rsidRPr="00000000" w:rsidDel="00000000">
      <w:pPr>
        <w:contextualSpacing w:val="0"/>
        <w:rPr>
          <w:b w:val="1"/>
          <w:rtl w:val="0"/>
        </w:rPr>
      </w:pPr>
      <w:r w:rsidR="00000000" w:rsidRPr="00000000" w:rsidDel="00000000">
        <w:rPr>
          <w:b w:val="1"/>
          <w:rtl w:val="0"/>
        </w:rPr>
        <w:t xml:space="preserve">issue:</w:t>
      </w:r>
    </w:p>
    <w:p w:rsidP="00000000" w:rsidRDefault="00000000" w:rsidR="00000000" w:rsidRPr="00000000" w:rsidDel="00000000">
      <w:pPr>
        <w:contextualSpacing w:val="0"/>
      </w:pPr>
      <w:r w:rsidR="00000000" w:rsidRPr="00000000" w:rsidDel="00000000">
        <w:rPr>
          <w:rtl w:val="0"/>
        </w:rPr>
        <w:t xml:space="preserve">4</w:t>
      </w:r>
    </w:p>
    <w:p w:rsidP="00000000" w:rsidRDefault="00000000" w:rsidR="00000000" w:rsidRPr="00000000" w:rsidDel="00000000">
      <w:pPr>
        <w:pStyle w:val="Heading2"/>
        <w:contextualSpacing w:val="0"/>
      </w:pPr>
      <w:r w:rsidR="00000000" w:rsidRPr="00000000" w:rsidDel="00000000">
        <w:rPr>
          <w:rStyle w:val="Heading2"/>
          <w:rtl w:val="0"/>
        </w:rPr>
        <w:t xml:space="preserve">229. Work-related self-report measures and assessment tools in cancer survivorship: a systematic literature review</w:t>
      </w:r>
    </w:p>
    <w:p w:rsidP="00000000" w:rsidRDefault="00000000" w:rsidR="00000000" w:rsidRPr="00000000" w:rsidDel="00000000">
      <w:pPr>
        <w:contextualSpacing w:val="0"/>
        <w:rPr>
          <w:b w:val="1"/>
          <w:rtl w:val="0"/>
        </w:rPr>
      </w:pPr>
      <w:r w:rsidR="00000000" w:rsidRPr="00000000" w:rsidDel="00000000">
        <w:rPr>
          <w:b w:val="1"/>
          <w:rtl w:val="0"/>
        </w:rPr>
        <w:t xml:space="preserve">authors:</w:t>
      </w:r>
    </w:p>
    <w:p w:rsidP="00000000" w:rsidRDefault="00000000" w:rsidR="00000000" w:rsidRPr="00000000" w:rsidDel="00000000">
      <w:pPr>
        <w:contextualSpacing w:val="0"/>
      </w:pPr>
      <w:r w:rsidR="00000000" w:rsidRPr="00000000" w:rsidDel="00000000">
        <w:rPr>
          <w:rtl w:val="0"/>
        </w:rPr>
        <w:t xml:space="preserve">Ladehoff, N., Sturm, K., Mehnert, A.</w:t>
      </w:r>
    </w:p>
    <w:p w:rsidP="00000000" w:rsidRDefault="00000000" w:rsidR="00000000" w:rsidRPr="00000000" w:rsidDel="00000000">
      <w:pPr>
        <w:contextualSpacing w:val="0"/>
        <w:rPr>
          <w:b w:val="1"/>
          <w:rtl w:val="0"/>
        </w:rPr>
      </w:pPr>
      <w:r w:rsidR="00000000" w:rsidRPr="00000000" w:rsidDel="00000000">
        <w:rPr>
          <w:b w:val="1"/>
          <w:rtl w:val="0"/>
        </w:rPr>
        <w:t xml:space="preserve">doi:</w:t>
      </w:r>
    </w:p>
    <w:p w:rsidP="00000000" w:rsidRDefault="00000000" w:rsidR="00000000" w:rsidRPr="00000000" w:rsidDel="00000000">
      <w:pPr>
        <w:contextualSpacing w:val="0"/>
      </w:pPr>
      <w:r w:rsidR="00000000" w:rsidRPr="00000000" w:rsidDel="00000000">
        <w:rPr>
          <w:rtl w:val="0"/>
        </w:rPr>
        <w:t xml:space="preserve">10.3109/09638288.2012.688921</w:t>
      </w:r>
    </w:p>
    <w:p w:rsidP="00000000" w:rsidRDefault="00000000" w:rsidR="00000000" w:rsidRPr="00000000" w:rsidDel="00000000">
      <w:pPr>
        <w:contextualSpacing w:val="0"/>
        <w:rPr>
          <w:b w:val="1"/>
          <w:rtl w:val="0"/>
        </w:rPr>
      </w:pPr>
      <w:r w:rsidR="00000000" w:rsidRPr="00000000" w:rsidDel="00000000">
        <w:rPr>
          <w:b w:val="1"/>
          <w:rtl w:val="0"/>
        </w:rPr>
        <w:t xml:space="preserve">abstract:</w:t>
      </w:r>
    </w:p>
    <w:p w:rsidP="00000000" w:rsidRDefault="00000000" w:rsidR="00000000" w:rsidRPr="00000000" w:rsidDel="00000000">
      <w:pPr>
        <w:contextualSpacing w:val="0"/>
      </w:pPr>
      <w:r w:rsidR="00000000" w:rsidRPr="00000000" w:rsidDel="00000000">
        <w:rPr>
          <w:rtl w:val="0"/>
        </w:rPr>
        <w:t xml:space="preserve">PURPOSE: To systematically review and appraise studies examining self-report questionnaires measuring work-related aspects in cancer patients. METHOD: Literature search methodology: Searches in Embase, PsycINFO, PSYNDEXplus, PSYNDEXplus Tests and PubMed for the period 1990-2011 were completed. Inclusion criteria were as follows: (i) the questionnaire measures work-related aspects; (ii) the questionnaire has been used in at least one study, which involved cancer patient as a relevant target group; and (iii) articles were written in English or German. RESULTS: Twenty-two articles out of 350 records were reviewed and 13 questionnaires identified. The majority of measures cover several dimensions of work-related aspects representing a variety of work-related experiences and constructs such as aspects of the work environment, demands at work and work-related interpersonal relations. Nine of the 13 questionnaires showed good internal consistency whereas subscales of four instruments had fair or poor internal consistency. For 12 out of 13 measures, validity and reliability were tested in non-cancer populations. CONCLUSIONS: The knowledge about reliability and validity of self-report questionnaires measuring work-related aspects in cancer patients is scarce and more high-quality validation studies are needed. Findings further emphasize the need for the development of valid multidimensional measures that are relevant for both research and rehabilitative occupational interventions.</w:t>
      </w:r>
    </w:p>
    <w:p w:rsidP="00000000" w:rsidRDefault="00000000" w:rsidR="00000000" w:rsidRPr="00000000" w:rsidDel="00000000">
      <w:pPr>
        <w:contextualSpacing w:val="0"/>
        <w:rPr>
          <w:b w:val="1"/>
          <w:rtl w:val="0"/>
        </w:rPr>
      </w:pPr>
      <w:r w:rsidR="00000000" w:rsidRPr="00000000" w:rsidDel="00000000">
        <w:rPr>
          <w:b w:val="1"/>
          <w:rtl w:val="0"/>
        </w:rPr>
        <w:t xml:space="preserve">journal:</w:t>
      </w:r>
    </w:p>
    <w:p w:rsidP="00000000" w:rsidRDefault="00000000" w:rsidR="00000000" w:rsidRPr="00000000" w:rsidDel="00000000">
      <w:pPr>
        <w:contextualSpacing w:val="0"/>
      </w:pPr>
      <w:r w:rsidR="00000000" w:rsidRPr="00000000" w:rsidDel="00000000">
        <w:rPr>
          <w:rtl w:val="0"/>
        </w:rPr>
        <w:t xml:space="preserve">Disabil Rehabil</w:t>
      </w:r>
    </w:p>
    <w:p w:rsidP="00000000" w:rsidRDefault="00000000" w:rsidR="00000000" w:rsidRPr="00000000" w:rsidDel="00000000">
      <w:pPr>
        <w:contextualSpacing w:val="0"/>
        <w:rPr>
          <w:b w:val="1"/>
          <w:rtl w:val="0"/>
        </w:rPr>
      </w:pPr>
      <w:r w:rsidR="00000000" w:rsidRPr="00000000" w:rsidDel="00000000">
        <w:rPr>
          <w:b w:val="1"/>
          <w:rtl w:val="0"/>
        </w:rPr>
        <w:t xml:space="preserve">issue:</w:t>
      </w:r>
    </w:p>
    <w:p w:rsidP="00000000" w:rsidRDefault="00000000" w:rsidR="00000000" w:rsidRPr="00000000" w:rsidDel="00000000">
      <w:pPr>
        <w:contextualSpacing w:val="0"/>
      </w:pPr>
      <w:r w:rsidR="00000000" w:rsidRPr="00000000" w:rsidDel="00000000">
        <w:rPr>
          <w:rtl w:val="0"/>
        </w:rPr>
        <w:t xml:space="preserve">2</w:t>
      </w:r>
    </w:p>
    <w:p w:rsidP="00000000" w:rsidRDefault="00000000" w:rsidR="00000000" w:rsidRPr="00000000" w:rsidDel="00000000">
      <w:pPr>
        <w:pStyle w:val="Heading2"/>
        <w:contextualSpacing w:val="0"/>
      </w:pPr>
      <w:r w:rsidR="00000000" w:rsidRPr="00000000" w:rsidDel="00000000">
        <w:rPr>
          <w:rStyle w:val="Heading2"/>
          <w:rtl w:val="0"/>
        </w:rPr>
        <w:t xml:space="preserve">2541. Wrist Rigidity Evaluation in Parkinson's Disease: A Scoping Review</w:t>
      </w:r>
    </w:p>
    <w:p w:rsidP="00000000" w:rsidRDefault="00000000" w:rsidR="00000000" w:rsidRPr="00000000" w:rsidDel="00000000">
      <w:pPr>
        <w:contextualSpacing w:val="0"/>
        <w:rPr>
          <w:b w:val="1"/>
          <w:rtl w:val="0"/>
        </w:rPr>
      </w:pPr>
      <w:r w:rsidR="00000000" w:rsidRPr="00000000" w:rsidDel="00000000">
        <w:rPr>
          <w:b w:val="1"/>
          <w:rtl w:val="0"/>
        </w:rPr>
        <w:t xml:space="preserve">authors:</w:t>
      </w:r>
    </w:p>
    <w:p w:rsidP="00000000" w:rsidRDefault="00000000" w:rsidR="00000000" w:rsidRPr="00000000" w:rsidDel="00000000">
      <w:pPr>
        <w:contextualSpacing w:val="0"/>
      </w:pPr>
      <w:r w:rsidR="00000000" w:rsidRPr="00000000" w:rsidDel="00000000">
        <w:rPr>
          <w:rtl w:val="0"/>
        </w:rPr>
        <w:t xml:space="preserve">Alves, C. M., Rezende, A. R., Marques, I. A., Mendes, L. C., de Sá, A. A. R., Vieira, M. F., Júnior, E. A. L., Pereira, A. A., Oliveira, F. H. M., de Souza, L. P. S., Bourhis, G., Pino, P., Andrade, A. O., Morère, Y., Naves, E. L. M.</w:t>
      </w:r>
    </w:p>
    <w:p w:rsidP="00000000" w:rsidRDefault="00000000" w:rsidR="00000000" w:rsidRPr="00000000" w:rsidDel="00000000">
      <w:pPr>
        <w:contextualSpacing w:val="0"/>
        <w:rPr>
          <w:b w:val="1"/>
          <w:rtl w:val="0"/>
        </w:rPr>
      </w:pPr>
      <w:r w:rsidR="00000000" w:rsidRPr="00000000" w:rsidDel="00000000">
        <w:rPr>
          <w:b w:val="1"/>
          <w:rtl w:val="0"/>
        </w:rPr>
        <w:t xml:space="preserve">doi:</w:t>
      </w:r>
    </w:p>
    <w:p w:rsidP="00000000" w:rsidRDefault="00000000" w:rsidR="00000000" w:rsidRPr="00000000" w:rsidDel="00000000">
      <w:pPr>
        <w:contextualSpacing w:val="0"/>
      </w:pPr>
      <w:r w:rsidR="00000000" w:rsidRPr="00000000" w:rsidDel="00000000">
        <w:rPr>
          <w:rtl w:val="0"/>
        </w:rPr>
        <w:t xml:space="preserve">10.3390/healthcare10112178</w:t>
      </w:r>
    </w:p>
    <w:p w:rsidP="00000000" w:rsidRDefault="00000000" w:rsidR="00000000" w:rsidRPr="00000000" w:rsidDel="00000000">
      <w:pPr>
        <w:contextualSpacing w:val="0"/>
        <w:rPr>
          <w:b w:val="1"/>
          <w:rtl w:val="0"/>
        </w:rPr>
      </w:pPr>
      <w:r w:rsidR="00000000" w:rsidRPr="00000000" w:rsidDel="00000000">
        <w:rPr>
          <w:b w:val="1"/>
          <w:rtl w:val="0"/>
        </w:rPr>
        <w:t xml:space="preserve">abstract:</w:t>
      </w:r>
    </w:p>
    <w:p w:rsidP="00000000" w:rsidRDefault="00000000" w:rsidR="00000000" w:rsidRPr="00000000" w:rsidDel="00000000">
      <w:pPr>
        <w:contextualSpacing w:val="0"/>
      </w:pPr>
      <w:r w:rsidR="00000000" w:rsidRPr="00000000" w:rsidDel="00000000">
        <w:rPr>
          <w:rtl w:val="0"/>
        </w:rPr>
        <w:t xml:space="preserve">(1) Background: One of the main cardinal signs of Parkinson's disease (PD) is rigidity, whose assessment is important for monitoring the patient's recovery. The wrist is one of the joints most affected by this symptom, which has a great impact on activities of daily living and consequently on quality of life. The assessment of rigidity is traditionally made by clinical scales, which have limitations due to their subjectivity and low intra- and inter-examiner reliability. (2) Objectives: To compile the main methods used to assess wrist rigidity in PD and to study their validity and reliability, a scope review was conducted. (3) Methods: PubMed, IEEE/IET Electronic Library, Web of Science, Scopus, Cochrane, Bireme, Google Scholar and Science Direct databases were used. (4) Results: Twenty-eight studies were included. The studies presented several methods for quantitative assessment of rigidity using instruments such as force and inertial sensors. (5) Conclusions: Such methods present good correlation with clinical scales and are useful for detecting and monitoring rigidity. However, the development of a standard quantitative method for assessing rigidity in clinical practice remains a challenge.</w:t>
      </w:r>
    </w:p>
    <w:p w:rsidP="00000000" w:rsidRDefault="00000000" w:rsidR="00000000" w:rsidRPr="00000000" w:rsidDel="00000000">
      <w:pPr>
        <w:contextualSpacing w:val="0"/>
        <w:rPr>
          <w:b w:val="1"/>
          <w:rtl w:val="0"/>
        </w:rPr>
      </w:pPr>
      <w:r w:rsidR="00000000" w:rsidRPr="00000000" w:rsidDel="00000000">
        <w:rPr>
          <w:b w:val="1"/>
          <w:rtl w:val="0"/>
        </w:rPr>
        <w:t xml:space="preserve">journal:</w:t>
      </w:r>
    </w:p>
    <w:p w:rsidP="00000000" w:rsidRDefault="00000000" w:rsidR="00000000" w:rsidRPr="00000000" w:rsidDel="00000000">
      <w:pPr>
        <w:contextualSpacing w:val="0"/>
      </w:pPr>
      <w:r w:rsidR="00000000" w:rsidRPr="00000000" w:rsidDel="00000000">
        <w:rPr>
          <w:rtl w:val="0"/>
        </w:rPr>
        <w:t xml:space="preserve">Healthcare (Basel)</w:t>
      </w:r>
    </w:p>
    <w:p w:rsidP="00000000" w:rsidRDefault="00000000" w:rsidR="00000000" w:rsidRPr="00000000" w:rsidDel="00000000">
      <w:pPr>
        <w:contextualSpacing w:val="0"/>
        <w:rPr>
          <w:b w:val="1"/>
          <w:rtl w:val="0"/>
        </w:rPr>
      </w:pPr>
      <w:r w:rsidR="00000000" w:rsidRPr="00000000" w:rsidDel="00000000">
        <w:rPr>
          <w:b w:val="1"/>
          <w:rtl w:val="0"/>
        </w:rPr>
        <w:t xml:space="preserve">issue:</w:t>
      </w:r>
    </w:p>
    <w:p w:rsidP="00000000" w:rsidRDefault="00000000" w:rsidR="00000000" w:rsidRPr="00000000" w:rsidDel="00000000">
      <w:pPr>
        <w:contextualSpacing w:val="0"/>
      </w:pPr>
      <w:r w:rsidR="00000000" w:rsidRPr="00000000" w:rsidDel="00000000">
        <w:rPr>
          <w:rtl w:val="0"/>
        </w:rPr>
        <w:t xml:space="preserve">11</w:t>
      </w:r>
    </w:p>
    <w:p w:rsidP="00000000" w:rsidRDefault="00000000" w:rsidR="00000000" w:rsidRPr="00000000" w:rsidDel="00000000">
      <w:pPr>
        <w:pStyle w:val="Heading2"/>
        <w:contextualSpacing w:val="0"/>
      </w:pPr>
      <w:r w:rsidR="00000000" w:rsidRPr="00000000" w:rsidDel="00000000">
        <w:rPr>
          <w:rStyle w:val="Heading2"/>
          <w:rtl w:val="0"/>
        </w:rPr>
        <w:t xml:space="preserve">2511. Yarning about Diet: The Applicability of Dietary Assessment Methods in Aboriginal and Torres Strait Islander Australians-A Scoping Review</w:t>
      </w:r>
    </w:p>
    <w:p w:rsidP="00000000" w:rsidRDefault="00000000" w:rsidR="00000000" w:rsidRPr="00000000" w:rsidDel="00000000">
      <w:pPr>
        <w:contextualSpacing w:val="0"/>
        <w:rPr>
          <w:b w:val="1"/>
          <w:rtl w:val="0"/>
        </w:rPr>
      </w:pPr>
      <w:r w:rsidR="00000000" w:rsidRPr="00000000" w:rsidDel="00000000">
        <w:rPr>
          <w:b w:val="1"/>
          <w:rtl w:val="0"/>
        </w:rPr>
        <w:t xml:space="preserve">authors:</w:t>
      </w:r>
    </w:p>
    <w:p w:rsidP="00000000" w:rsidRDefault="00000000" w:rsidR="00000000" w:rsidRPr="00000000" w:rsidDel="00000000">
      <w:pPr>
        <w:contextualSpacing w:val="0"/>
      </w:pPr>
      <w:r w:rsidR="00000000" w:rsidRPr="00000000" w:rsidDel="00000000">
        <w:rPr>
          <w:rtl w:val="0"/>
        </w:rPr>
        <w:t xml:space="preserve">Davies, A., Coombes, J., Wallace, J., Glover, K., Porykali, B., Allman-Farinelli, M., Kunzli-Rix, T., Rangan, A.</w:t>
      </w:r>
    </w:p>
    <w:p w:rsidP="00000000" w:rsidRDefault="00000000" w:rsidR="00000000" w:rsidRPr="00000000" w:rsidDel="00000000">
      <w:pPr>
        <w:contextualSpacing w:val="0"/>
        <w:rPr>
          <w:b w:val="1"/>
          <w:rtl w:val="0"/>
        </w:rPr>
      </w:pPr>
      <w:r w:rsidR="00000000" w:rsidRPr="00000000" w:rsidDel="00000000">
        <w:rPr>
          <w:b w:val="1"/>
          <w:rtl w:val="0"/>
        </w:rPr>
        <w:t xml:space="preserve">doi:</w:t>
      </w:r>
    </w:p>
    <w:p w:rsidP="00000000" w:rsidRDefault="00000000" w:rsidR="00000000" w:rsidRPr="00000000" w:rsidDel="00000000">
      <w:pPr>
        <w:contextualSpacing w:val="0"/>
      </w:pPr>
      <w:r w:rsidR="00000000" w:rsidRPr="00000000" w:rsidDel="00000000">
        <w:rPr>
          <w:rtl w:val="0"/>
        </w:rPr>
        <w:t xml:space="preserve">10.3390/nu15030787</w:t>
      </w:r>
    </w:p>
    <w:p w:rsidP="00000000" w:rsidRDefault="00000000" w:rsidR="00000000" w:rsidRPr="00000000" w:rsidDel="00000000">
      <w:pPr>
        <w:contextualSpacing w:val="0"/>
        <w:rPr>
          <w:b w:val="1"/>
          <w:rtl w:val="0"/>
        </w:rPr>
      </w:pPr>
      <w:r w:rsidR="00000000" w:rsidRPr="00000000" w:rsidDel="00000000">
        <w:rPr>
          <w:b w:val="1"/>
          <w:rtl w:val="0"/>
        </w:rPr>
        <w:t xml:space="preserve">abstract:</w:t>
      </w:r>
    </w:p>
    <w:p w:rsidP="00000000" w:rsidRDefault="00000000" w:rsidR="00000000" w:rsidRPr="00000000" w:rsidDel="00000000">
      <w:pPr>
        <w:contextualSpacing w:val="0"/>
      </w:pPr>
      <w:r w:rsidR="00000000" w:rsidRPr="00000000" w:rsidDel="00000000">
        <w:rPr>
          <w:rtl w:val="0"/>
        </w:rPr>
        <w:t xml:space="preserve">Conventional dietary assessment methods are based predominately on Western models which lack Aboriginal and Torres Strait Islander knowledges, methodologies, and social and cultural contextualisation. This review considered dietary assessment methods used with Aboriginal and Torres Strait Islander populations and assessed their applicability. Four electronic databases and grey literature were searched with no time limit applied to the results. Screening, data extraction and quality appraisal were undertaken independently by two reviewers. Out of 22 studies, 20 were conducted in rural/remote settings, one in an urban setting, and one at the national population level. The most frequently used and applicable dietary assessment method involved store data. Weighed food records and food frequency questionnaires had low applicability. Modifications of conventional methods were commonly used to adapt to Indigenous practices, but few studies incorporated Indigenous research methodologies such as yarning. This highlights an opportunity for further investigation to validate the accuracy of methods that incorporate qualitative yarning-based approaches, or other Indigenous research methodologies, into quantitative data collection. The importance of developing validated dietary assessment methods that are appropriate for this population cannot be understated considering the high susceptibility to nutrition-related health conditions such as malnutrition, overweight or obesity, diabetes, and cardiovascular disease.</w:t>
      </w:r>
    </w:p>
    <w:p w:rsidP="00000000" w:rsidRDefault="00000000" w:rsidR="00000000" w:rsidRPr="00000000" w:rsidDel="00000000">
      <w:pPr>
        <w:contextualSpacing w:val="0"/>
        <w:rPr>
          <w:b w:val="1"/>
          <w:rtl w:val="0"/>
        </w:rPr>
      </w:pPr>
      <w:r w:rsidR="00000000" w:rsidRPr="00000000" w:rsidDel="00000000">
        <w:rPr>
          <w:b w:val="1"/>
          <w:rtl w:val="0"/>
        </w:rPr>
        <w:t xml:space="preserve">journal:</w:t>
      </w:r>
    </w:p>
    <w:p w:rsidP="00000000" w:rsidRDefault="00000000" w:rsidR="00000000" w:rsidRPr="00000000" w:rsidDel="00000000">
      <w:pPr>
        <w:contextualSpacing w:val="0"/>
      </w:pPr>
      <w:r w:rsidR="00000000" w:rsidRPr="00000000" w:rsidDel="00000000">
        <w:rPr>
          <w:rtl w:val="0"/>
        </w:rPr>
        <w:t xml:space="preserve">Nutrients</w:t>
      </w:r>
    </w:p>
    <w:p w:rsidP="00000000" w:rsidRDefault="00000000" w:rsidR="00000000" w:rsidRPr="00000000" w:rsidDel="00000000">
      <w:pPr>
        <w:contextualSpacing w:val="0"/>
        <w:rPr>
          <w:b w:val="1"/>
          <w:rtl w:val="0"/>
        </w:rPr>
      </w:pPr>
      <w:r w:rsidR="00000000" w:rsidRPr="00000000" w:rsidDel="00000000">
        <w:rPr>
          <w:b w:val="1"/>
          <w:rtl w:val="0"/>
        </w:rPr>
        <w:t xml:space="preserve">issue:</w:t>
      </w:r>
    </w:p>
    <w:p w:rsidP="00000000" w:rsidRDefault="00000000" w:rsidR="00000000" w:rsidRPr="00000000" w:rsidDel="00000000">
      <w:pPr>
        <w:contextualSpacing w:val="0"/>
      </w:pPr>
      <w:r w:rsidR="00000000" w:rsidRPr="00000000" w:rsidDel="00000000">
        <w:rPr>
          <w:rtl w:val="0"/>
        </w:rPr>
        <w:t xml:space="preserve">3</w:t>
      </w:r>
    </w:p>
    <w:sectPr>
      <w:pgSz w:w="12240" w:h="15840" w:orient="portrait"/>
      <w:pgMar w:top="1440" w:bottom="1440" w:left="1440" w:right="1440"/>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w:font w:name="Arial"/>
  <w:font w:name="Trebuchet MS"/>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w:p w:rsidP="00000000" w:rsidRDefault="00000000" w:rsidR="00000000" w:rsidRPr="00000000" w:rsidDel="00000000">
    <w:pPr>
      <w:contextualSpacing w:val="0"/>
      <w:jc w:val="center"/>
    </w:pPr>
    <w:r w:rsidR="00000000" w:rsidRPr="00000000" w:rsidDel="00000000">
      <w:rPr/>
      <w:fldChar w:fldCharType="begin"/>
      <w:instrText xml:space="preserve">PAGE</w:instrText>
      <w:fldChar w:fldCharType="end"/>
    </w:r>
    <w:r w:rsidR="00000000" w:rsidRPr="00000000" w:rsidDel="00000000">
      <w:rPr>
        <w:rtl w:val="0"/>
      </w:rPr>
    </w:r>
  </w:p>
</w:ft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w:displayBackgroundShape w:val="1"/>
  <w:defaultTabStop w:val="720"/>
  <w:compat>
    <w:compatSetting w:val="14" w:name="compatibilityMode" w:uri="http://schemas.microsoft.com/office/word"/>
  </w:compa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w:docDefaults>
    <w:rPrDefault>
      <w:rPr>
        <w:rFonts w:cs="Arial" w:hAnsi="Arial" w:eastAsia="Arial" w:ascii="Arial"/>
        <w:b w:val="0"/>
        <w:i w:val="0"/>
        <w:caps w:val="0"/>
        <w:smallCaps w:val="0"/>
        <w:strike w:val="0"/>
        <w:color w:val="333333"/>
        <w:sz w:val="20"/>
        <w:u w:val="none"/>
        <w:vertAlign w:val="baseline"/>
      </w:rPr>
    </w:rPrDefault>
    <w:pPrDefault>
      <w:pPr>
        <w:keepNext w:val="0"/>
        <w:keepLines w:val="0"/>
        <w:widowControl w:val="1"/>
        <w:spacing w:lineRule="auto" w:before="0" w:after="0" w:line="320"/>
        <w:ind w:left="0" w:right="0" w:firstLine="0"/>
        <w:jc w:val="left"/>
      </w:pPr>
    </w:pPrDefault>
  </w:docDefaults>
  <w:style w:styleId="Normal" w:type="paragraph" w:default="1">
    <w:name w:val="normal"/>
  </w:style>
  <w:style w:styleId="TableNormal" w:type="table" w:default="1">
    <w:name w:val="Table Normal"/>
    <w:pPr>
      <w:spacing w:lineRule="auto" w:line="459.99999999999994" w:before="0" w:after="0"/>
    </w:pPr>
  </w:style>
  <w:style w:styleId="Heading1" w:type="paragraph">
    <w:name w:val="heading 1"/>
    <w:basedOn w:val="Normal"/>
    <w:next w:val="Normal"/>
    <w:pPr>
      <w:keepNext w:val="0"/>
      <w:keepLines w:val="0"/>
      <w:widowControl w:val="1"/>
      <w:spacing w:lineRule="auto" w:after="120"/>
      <w:contextualSpacing w:val="1"/>
    </w:pPr>
    <w:rPr>
      <w:rFonts w:cs="Palatino" w:hAnsi="Palatino" w:eastAsia="Palatino" w:ascii="Palatino"/>
      <w:sz w:val="36"/>
    </w:rPr>
  </w:style>
  <w:style w:styleId="Heading2" w:type="paragraph">
    <w:name w:val="heading 2"/>
    <w:basedOn w:val="Normal"/>
    <w:next w:val="Normal"/>
    <w:pPr>
      <w:keepNext w:val="0"/>
      <w:keepLines w:val="0"/>
      <w:widowControl w:val="1"/>
      <w:spacing w:lineRule="auto" w:before="120" w:after="160"/>
      <w:contextualSpacing w:val="1"/>
    </w:pPr>
    <w:rPr>
      <w:rFonts w:cs="Arial" w:hAnsi="Arial" w:eastAsia="Arial" w:ascii="Arial"/>
      <w:b w:val="1"/>
      <w:sz w:val="26"/>
    </w:rPr>
  </w:style>
  <w:style w:styleId="Heading3" w:type="paragraph">
    <w:name w:val="heading 3"/>
    <w:basedOn w:val="Normal"/>
    <w:next w:val="Normal"/>
    <w:pPr>
      <w:keepNext w:val="0"/>
      <w:keepLines w:val="0"/>
      <w:widowControl w:val="1"/>
      <w:spacing w:lineRule="auto" w:before="120" w:after="160"/>
      <w:contextualSpacing w:val="1"/>
    </w:pPr>
    <w:rPr>
      <w:rFonts w:cs="Arial" w:hAnsi="Arial" w:eastAsia="Arial" w:ascii="Arial"/>
      <w:b w:val="1"/>
      <w:i w:val="1"/>
      <w:color w:val="666666"/>
      <w:sz w:val="24"/>
    </w:rPr>
  </w:style>
  <w:style w:styleId="Heading4" w:type="paragraph">
    <w:name w:val="heading 4"/>
    <w:basedOn w:val="Normal"/>
    <w:next w:val="Normal"/>
    <w:pPr>
      <w:keepNext w:val="0"/>
      <w:keepLines w:val="0"/>
      <w:widowControl w:val="1"/>
      <w:spacing w:lineRule="auto" w:before="120" w:after="120"/>
      <w:contextualSpacing w:val="1"/>
    </w:pPr>
    <w:rPr>
      <w:rFonts w:cs="Palatino" w:hAnsi="Palatino" w:eastAsia="Palatino" w:ascii="Palatino"/>
      <w:b w:val="1"/>
      <w:sz w:val="24"/>
    </w:rPr>
  </w:style>
  <w:style w:styleId="Heading5" w:type="paragraph">
    <w:name w:val="heading 5"/>
    <w:basedOn w:val="Normal"/>
    <w:next w:val="Normal"/>
    <w:pPr>
      <w:keepNext w:val="0"/>
      <w:keepLines w:val="0"/>
      <w:widowControl w:val="1"/>
      <w:spacing w:lineRule="auto" w:before="120" w:after="120"/>
      <w:contextualSpacing w:val="1"/>
    </w:pPr>
    <w:rPr>
      <w:rFonts w:cs="Arial" w:hAnsi="Arial" w:eastAsia="Arial" w:ascii="Arial"/>
      <w:b w:val="1"/>
      <w:sz w:val="22"/>
    </w:rPr>
  </w:style>
  <w:style w:styleId="Heading6" w:type="paragraph">
    <w:name w:val="heading 6"/>
    <w:basedOn w:val="Normal"/>
    <w:next w:val="Normal"/>
    <w:pPr>
      <w:keepNext w:val="0"/>
      <w:keepLines w:val="0"/>
      <w:widowControl w:val="1"/>
      <w:spacing w:lineRule="auto" w:before="120" w:after="120"/>
      <w:contextualSpacing w:val="1"/>
    </w:pPr>
    <w:rPr>
      <w:rFonts w:cs="Arial" w:hAnsi="Arial" w:eastAsia="Arial" w:ascii="Arial"/>
      <w:i w:val="1"/>
      <w:color w:val="666666"/>
      <w:sz w:val="22"/>
      <w:u w:val="single"/>
    </w:rPr>
  </w:style>
  <w:style w:styleId="Title" w:type="paragraph">
    <w:name w:val="title"/>
    <w:basedOn w:val="Normal"/>
    <w:next w:val="Normal"/>
    <w:pPr>
      <w:keepNext w:val="0"/>
      <w:keepLines w:val="0"/>
      <w:widowControl w:val="1"/>
      <w:contextualSpacing w:val="1"/>
    </w:pPr>
    <w:rPr>
      <w:rFonts w:cs="Palatino" w:hAnsi="Palatino" w:eastAsia="Palatino" w:ascii="Palatino"/>
      <w:sz w:val="60"/>
    </w:rPr>
  </w:style>
  <w:style w:styleId="Subtitle" w:type="paragraph">
    <w:name w:val="subtitle"/>
    <w:basedOn w:val="Normal"/>
    <w:next w:val="Normal"/>
    <w:pPr>
      <w:keepNext w:val="0"/>
      <w:keepLines w:val="0"/>
      <w:widowControl w:val="1"/>
      <w:spacing w:lineRule="auto" w:before="60"/>
      <w:contextualSpacing w:val="1"/>
    </w:pPr>
    <w:rPr>
      <w:rFonts w:cs="Arial" w:hAnsi="Arial" w:eastAsia="Arial" w:ascii="Arial"/>
      <w:sz w:val="28"/>
    </w:rPr>
  </w:style>
  <w:style w:styleId="DefaultTable" w:type="table">
    <w:basedOn w:val="TableNormal"/>
    <w:tblPr>
      <w:tblStyleRowBandSize w:val="1"/>
      <w:tblStyleColBandSize w:val="1"/>
    </w:tblPr>
    <w:tblStylePr w:type="band1Horz"/>
    <w:tblStylePr w:type="band1Vert"/>
    <w:tblStylePr w:type="band2Horz"/>
    <w:tblStylePr w:type="band2Vert"/>
    <w:tblStylePr w:type="firstCol"/>
    <w:tblStylePr w:type="firstRow"/>
    <w:tblStylePr w:type="lastCol"/>
    <w:tblStylePr w:type="lastRow"/>
    <w:tblStylePr w:type="neCell"/>
    <w:tblStylePr w:type="nwCell"/>
    <w:tblStylePr w:type="seCell"/>
    <w:tblStylePr w:type="swCell"/>
  </w:style>
</w:styles>
</file>

<file path=word/_rels/document.xml.rels><?xml version="1.0" encoding="UTF-8" standalone="yes"?>
<Relationships xmlns="http://schemas.openxmlformats.org/package/2006/relationships"><Relationship Target="fontTable.xml" Type="http://schemas.openxmlformats.org/officeDocument/2006/relationships/fontTable" Id="rId1"/><Relationship Target="footer1.xml" Type="http://schemas.openxmlformats.org/officeDocument/2006/relationships/footer" Id="rId2"/><Relationship Target="numbering.xml" Type="http://schemas.openxmlformats.org/officeDocument/2006/relationships/numbering" Id="rId3"/><Relationship Target="settings.xml" Type="http://schemas.openxmlformats.org/officeDocument/2006/relationships/settings" Id="rId4"/><Relationship Target="styles.xml" Type="http://schemas.openxmlformats.org/officeDocument/2006/relationships/styles" Id="rId5"/></Relationships>

</file>

<file path=docProps/app.xml><?xml version="1.0" encoding="utf-8"?>
<Properties xmlns="http://schemas.openxmlformats.org/officeDocument/2006/extended-properties" xmlns:vt="http://schemas.openxmlformats.org/officeDocument/2006/docPropsVTypes">
  <Application>Caracal</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caracal.docx</dc:title>
</cp:coreProperties>
</file>

<file path=docProps/custom.xml><?xml version="1.0" encoding="utf-8"?>
<Properties xmlns="http://schemas.openxmlformats.org/officeDocument/2006/custom-properties" xmlns:vt="http://schemas.openxmlformats.org/officeDocument/2006/docPropsVTypes"/>
</file>